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B542F" w14:textId="336EBD86" w:rsidR="004C5987" w:rsidRPr="005A5439" w:rsidRDefault="004C5987" w:rsidP="003148F5">
      <w:pPr>
        <w:ind w:firstLine="708"/>
        <w:jc w:val="center"/>
        <w:rPr>
          <w:rFonts w:ascii="Arial" w:eastAsia="Calibri" w:hAnsi="Arial" w:cs="Arial"/>
          <w:b/>
          <w:bCs/>
          <w:lang w:eastAsia="en-US"/>
        </w:rPr>
      </w:pPr>
      <w:r w:rsidRPr="005A5439">
        <w:rPr>
          <w:rFonts w:ascii="Arial" w:eastAsia="Calibri" w:hAnsi="Arial" w:cs="Arial"/>
          <w:lang w:eastAsia="en-US"/>
        </w:rPr>
        <w:t xml:space="preserve">TERMO DE REFERÊNCIA – </w:t>
      </w:r>
      <w:r w:rsidRPr="005A5439">
        <w:rPr>
          <w:rFonts w:ascii="Arial" w:eastAsia="Calibri" w:hAnsi="Arial" w:cs="Arial"/>
          <w:b/>
          <w:bCs/>
          <w:lang w:eastAsia="en-US"/>
        </w:rPr>
        <w:t xml:space="preserve">DISPENSA </w:t>
      </w:r>
      <w:r w:rsidR="0064279F">
        <w:rPr>
          <w:rFonts w:ascii="Arial" w:eastAsia="Calibri" w:hAnsi="Arial" w:cs="Arial"/>
          <w:b/>
          <w:bCs/>
          <w:lang w:eastAsia="en-US"/>
        </w:rPr>
        <w:t xml:space="preserve">0008/2024 </w:t>
      </w:r>
      <w:r w:rsidRPr="005A5439">
        <w:rPr>
          <w:rFonts w:ascii="Arial" w:eastAsia="Calibri" w:hAnsi="Arial" w:cs="Arial"/>
          <w:lang w:eastAsia="en-US"/>
        </w:rPr>
        <w:t xml:space="preserve">– NOS TERMOS DA LEI </w:t>
      </w:r>
      <w:r w:rsidRPr="005A5439">
        <w:rPr>
          <w:rFonts w:ascii="Arial" w:eastAsia="Calibri" w:hAnsi="Arial" w:cs="Arial"/>
          <w:b/>
          <w:bCs/>
          <w:lang w:eastAsia="en-US"/>
        </w:rPr>
        <w:t>14.133/21.</w:t>
      </w:r>
    </w:p>
    <w:p w14:paraId="5FB95D86" w14:textId="77777777" w:rsidR="004C5987" w:rsidRPr="005A5439" w:rsidRDefault="004C5987" w:rsidP="004C5987">
      <w:pPr>
        <w:rPr>
          <w:rFonts w:ascii="Arial" w:hAnsi="Arial" w:cs="Arial"/>
          <w:bCs/>
        </w:rPr>
      </w:pPr>
    </w:p>
    <w:p w14:paraId="6545BE56" w14:textId="47D4EE76" w:rsidR="004C5987" w:rsidRPr="005A5439" w:rsidRDefault="004C5987" w:rsidP="004C5987">
      <w:pPr>
        <w:autoSpaceDE w:val="0"/>
        <w:autoSpaceDN w:val="0"/>
        <w:adjustRightInd w:val="0"/>
        <w:jc w:val="both"/>
        <w:rPr>
          <w:rFonts w:ascii="Arial" w:hAnsi="Arial" w:cs="Arial"/>
          <w:b/>
          <w:bCs/>
        </w:rPr>
      </w:pPr>
      <w:r w:rsidRPr="005A5439">
        <w:rPr>
          <w:rFonts w:ascii="Arial" w:hAnsi="Arial" w:cs="Arial"/>
          <w:b/>
          <w:bCs/>
        </w:rPr>
        <w:t>1 - DO OBJETO</w:t>
      </w:r>
      <w:r w:rsidRPr="005A5439">
        <w:rPr>
          <w:rFonts w:ascii="Arial" w:hAnsi="Arial" w:cs="Arial"/>
        </w:rPr>
        <w:t xml:space="preserve">: </w:t>
      </w:r>
      <w:r w:rsidR="00BC3201" w:rsidRPr="00BC3201">
        <w:rPr>
          <w:rFonts w:ascii="Arial" w:hAnsi="Arial" w:cs="Arial"/>
        </w:rPr>
        <w:t xml:space="preserve">AQUISIÇÃO DE </w:t>
      </w:r>
      <w:r w:rsidR="0064279F">
        <w:rPr>
          <w:rFonts w:ascii="Arial" w:hAnsi="Arial" w:cs="Arial"/>
        </w:rPr>
        <w:t>MOVEIS E MATERIAIS ESCRITORIO</w:t>
      </w:r>
      <w:r w:rsidR="00BC3201" w:rsidRPr="00BC3201">
        <w:rPr>
          <w:rFonts w:ascii="Arial" w:hAnsi="Arial" w:cs="Arial"/>
        </w:rPr>
        <w:t xml:space="preserve"> DA CÂMARA MUNICIPAL DE MARIZÓPOLIS - PB.</w:t>
      </w:r>
    </w:p>
    <w:p w14:paraId="3FA3CF38" w14:textId="77777777" w:rsidR="004C5987" w:rsidRPr="005A5439" w:rsidRDefault="004C5987" w:rsidP="004C5987">
      <w:pPr>
        <w:autoSpaceDE w:val="0"/>
        <w:autoSpaceDN w:val="0"/>
        <w:adjustRightInd w:val="0"/>
        <w:jc w:val="both"/>
        <w:rPr>
          <w:rFonts w:ascii="Arial" w:hAnsi="Arial" w:cs="Arial"/>
          <w:b/>
          <w:bCs/>
        </w:rPr>
      </w:pPr>
    </w:p>
    <w:p w14:paraId="0A51795B" w14:textId="77777777" w:rsidR="004C5987" w:rsidRPr="005A5439" w:rsidRDefault="004C5987" w:rsidP="004C5987">
      <w:pPr>
        <w:rPr>
          <w:rFonts w:ascii="Arial" w:hAnsi="Arial" w:cs="Arial"/>
          <w:b/>
          <w:bCs/>
        </w:rPr>
      </w:pPr>
      <w:r w:rsidRPr="005A5439">
        <w:rPr>
          <w:rFonts w:ascii="Arial" w:hAnsi="Arial" w:cs="Arial"/>
          <w:b/>
          <w:bCs/>
        </w:rPr>
        <w:t xml:space="preserve">Conforme a abaixo: </w:t>
      </w:r>
    </w:p>
    <w:p w14:paraId="72A93BA6" w14:textId="77777777" w:rsidR="004C5987" w:rsidRPr="005A5439" w:rsidRDefault="004C5987" w:rsidP="004C5987">
      <w:pPr>
        <w:rPr>
          <w:rFonts w:ascii="Arial" w:hAnsi="Arial" w:cs="Arial"/>
        </w:rPr>
      </w:pPr>
    </w:p>
    <w:p w14:paraId="616233DB" w14:textId="11EF49B3" w:rsidR="004C5987" w:rsidRPr="005A5439" w:rsidRDefault="004C5987" w:rsidP="004C5987">
      <w:pPr>
        <w:autoSpaceDE w:val="0"/>
        <w:autoSpaceDN w:val="0"/>
        <w:adjustRightInd w:val="0"/>
        <w:jc w:val="both"/>
        <w:rPr>
          <w:rFonts w:ascii="Arial" w:hAnsi="Arial" w:cs="Arial"/>
          <w:b/>
          <w:bCs/>
        </w:rPr>
      </w:pPr>
      <w:r w:rsidRPr="005A5439">
        <w:rPr>
          <w:rFonts w:ascii="Arial" w:hAnsi="Arial" w:cs="Arial"/>
          <w:b/>
          <w:bCs/>
        </w:rPr>
        <w:t>ESPECIFICAÇÃO DO OBJETO:</w:t>
      </w:r>
      <w:r w:rsidRPr="005A5439">
        <w:rPr>
          <w:rFonts w:ascii="Arial" w:hAnsi="Arial" w:cs="Arial"/>
        </w:rPr>
        <w:t xml:space="preserve"> </w:t>
      </w:r>
      <w:bookmarkStart w:id="0" w:name="_Hlk143178871"/>
      <w:r w:rsidRPr="005A5439">
        <w:rPr>
          <w:rFonts w:ascii="Arial" w:hAnsi="Arial" w:cs="Arial"/>
        </w:rPr>
        <w:t xml:space="preserve">A CÂMARA MUNICIPAL DE MARIZÓPOLIS - PB, pretendem contratar nos termos das especificações técnicas e informações complementares, motivada pela necessidade demandada da devida efetivação de fornecimento para suprir demanda específica, qual seja, </w:t>
      </w:r>
      <w:r w:rsidR="0064279F">
        <w:rPr>
          <w:rFonts w:ascii="Arial" w:hAnsi="Arial" w:cs="Arial"/>
        </w:rPr>
        <w:t>AQUISIÇÃO DE MOVEIS E MATERIAIS ESCRITORIO DA CÂMARA MUNICIPAL DE MARIZÓPOLIS - PB.</w:t>
      </w:r>
    </w:p>
    <w:bookmarkEnd w:id="0"/>
    <w:p w14:paraId="0AD3BBAE" w14:textId="77777777" w:rsidR="004C5987" w:rsidRPr="005A5439" w:rsidRDefault="004C5987" w:rsidP="004C5987">
      <w:pPr>
        <w:jc w:val="both"/>
        <w:rPr>
          <w:rFonts w:ascii="Arial" w:hAnsi="Arial" w:cs="Arial"/>
          <w:color w:val="000000"/>
        </w:rPr>
      </w:pPr>
    </w:p>
    <w:p w14:paraId="77D3BB27" w14:textId="77777777" w:rsidR="004C5987" w:rsidRPr="005A5439" w:rsidRDefault="004C5987" w:rsidP="004C5987">
      <w:pPr>
        <w:pStyle w:val="PargrafodaLista"/>
        <w:numPr>
          <w:ilvl w:val="2"/>
          <w:numId w:val="2"/>
        </w:numPr>
        <w:rPr>
          <w:rFonts w:ascii="Arial" w:hAnsi="Arial" w:cs="Arial"/>
          <w:b/>
          <w:bCs/>
          <w:color w:val="000000"/>
          <w:sz w:val="24"/>
          <w:szCs w:val="24"/>
        </w:rPr>
      </w:pPr>
      <w:r w:rsidRPr="005A5439">
        <w:rPr>
          <w:rFonts w:ascii="Arial" w:hAnsi="Arial" w:cs="Arial"/>
          <w:b/>
          <w:bCs/>
          <w:color w:val="000000"/>
          <w:sz w:val="24"/>
          <w:szCs w:val="24"/>
        </w:rPr>
        <w:t xml:space="preserve">DEMANDA PREVISTA E QUANTIDADE </w:t>
      </w:r>
      <w:bookmarkStart w:id="1" w:name="_Hlk143178903"/>
    </w:p>
    <w:p w14:paraId="10BFC92C" w14:textId="77777777" w:rsidR="004C5987" w:rsidRPr="005A5439" w:rsidRDefault="004C5987" w:rsidP="004C5987">
      <w:pPr>
        <w:pStyle w:val="PargrafodaLista"/>
        <w:ind w:left="360"/>
        <w:jc w:val="both"/>
        <w:rPr>
          <w:rFonts w:ascii="Arial" w:hAnsi="Arial" w:cs="Arial"/>
          <w:sz w:val="24"/>
          <w:szCs w:val="24"/>
        </w:rPr>
      </w:pPr>
    </w:p>
    <w:p w14:paraId="3503B4AD" w14:textId="0AC064ED" w:rsidR="00D159E4" w:rsidRDefault="0064279F" w:rsidP="004C5987">
      <w:pPr>
        <w:pStyle w:val="PargrafodaLista"/>
        <w:ind w:left="360"/>
        <w:jc w:val="both"/>
        <w:rPr>
          <w:rFonts w:ascii="Arial" w:hAnsi="Arial" w:cs="Arial"/>
        </w:rPr>
      </w:pPr>
      <w:r>
        <w:rPr>
          <w:rFonts w:ascii="Arial" w:hAnsi="Arial" w:cs="Arial"/>
        </w:rPr>
        <w:t>AQUISIÇÃO DE MOVEIS E MATERIAIS ESCRITORIO DA CÂMARA MUNICIPAL DE MARIZÓPOLIS - PB.</w:t>
      </w:r>
    </w:p>
    <w:p w14:paraId="200E4B9D" w14:textId="77777777" w:rsidR="00D159E4" w:rsidRDefault="00D159E4" w:rsidP="004C5987">
      <w:pPr>
        <w:pStyle w:val="PargrafodaLista"/>
        <w:ind w:left="360"/>
        <w:jc w:val="both"/>
        <w:rPr>
          <w:rFonts w:ascii="Arial" w:hAnsi="Arial" w:cs="Arial"/>
          <w:sz w:val="24"/>
          <w:szCs w:val="24"/>
        </w:rPr>
      </w:pPr>
    </w:p>
    <w:p w14:paraId="02694737" w14:textId="3D565B92" w:rsidR="004C5987" w:rsidRPr="005A5439" w:rsidRDefault="004C5987" w:rsidP="004C5987">
      <w:pPr>
        <w:pStyle w:val="PargrafodaLista"/>
        <w:ind w:left="360"/>
        <w:jc w:val="both"/>
        <w:rPr>
          <w:rFonts w:ascii="Arial" w:hAnsi="Arial" w:cs="Arial"/>
          <w:color w:val="000000"/>
          <w:sz w:val="24"/>
          <w:szCs w:val="24"/>
        </w:rPr>
      </w:pPr>
      <w:r w:rsidRPr="005A5439">
        <w:rPr>
          <w:rFonts w:ascii="Arial" w:hAnsi="Arial" w:cs="Arial"/>
          <w:color w:val="000000"/>
          <w:sz w:val="24"/>
          <w:szCs w:val="24"/>
        </w:rPr>
        <w:t>A relação entre a demanda e a necessidade da aquisição do produto estão diretamente relacionadas à justificativa constante no item anterior.</w:t>
      </w:r>
    </w:p>
    <w:tbl>
      <w:tblPr>
        <w:tblW w:w="8740" w:type="dxa"/>
        <w:tblCellMar>
          <w:left w:w="70" w:type="dxa"/>
          <w:right w:w="70" w:type="dxa"/>
        </w:tblCellMar>
        <w:tblLook w:val="04A0" w:firstRow="1" w:lastRow="0" w:firstColumn="1" w:lastColumn="0" w:noHBand="0" w:noVBand="1"/>
      </w:tblPr>
      <w:tblGrid>
        <w:gridCol w:w="960"/>
        <w:gridCol w:w="3920"/>
        <w:gridCol w:w="1883"/>
        <w:gridCol w:w="1140"/>
        <w:gridCol w:w="1200"/>
      </w:tblGrid>
      <w:tr w:rsidR="00191253" w:rsidRPr="00685CF9" w14:paraId="0DD11EF3" w14:textId="77777777" w:rsidTr="00217D03">
        <w:trPr>
          <w:trHeight w:val="42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bookmarkEnd w:id="1"/>
          <w:p w14:paraId="07E4787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ITEM</w:t>
            </w:r>
          </w:p>
        </w:tc>
        <w:tc>
          <w:tcPr>
            <w:tcW w:w="3920" w:type="dxa"/>
            <w:tcBorders>
              <w:top w:val="single" w:sz="8" w:space="0" w:color="auto"/>
              <w:left w:val="nil"/>
              <w:bottom w:val="single" w:sz="8" w:space="0" w:color="auto"/>
              <w:right w:val="single" w:sz="8" w:space="0" w:color="auto"/>
            </w:tcBorders>
            <w:shd w:val="clear" w:color="auto" w:fill="auto"/>
            <w:noWrap/>
            <w:vAlign w:val="center"/>
            <w:hideMark/>
          </w:tcPr>
          <w:p w14:paraId="62EEBB5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DISCRIMINAÇÃO</w:t>
            </w:r>
          </w:p>
        </w:tc>
        <w:tc>
          <w:tcPr>
            <w:tcW w:w="1520" w:type="dxa"/>
            <w:tcBorders>
              <w:top w:val="single" w:sz="8" w:space="0" w:color="auto"/>
              <w:left w:val="nil"/>
              <w:bottom w:val="single" w:sz="8" w:space="0" w:color="auto"/>
              <w:right w:val="single" w:sz="8" w:space="0" w:color="auto"/>
            </w:tcBorders>
            <w:shd w:val="clear" w:color="auto" w:fill="auto"/>
            <w:noWrap/>
            <w:vAlign w:val="center"/>
            <w:hideMark/>
          </w:tcPr>
          <w:p w14:paraId="7B96867E" w14:textId="3E295AAE"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MARCA</w:t>
            </w:r>
            <w:r w:rsidR="00BB629B">
              <w:rPr>
                <w:rFonts w:eastAsia="Times New Roman"/>
                <w:b/>
                <w:bCs/>
                <w:color w:val="000000"/>
                <w:sz w:val="16"/>
                <w:szCs w:val="16"/>
              </w:rPr>
              <w:t>/FABRICAÇÃO</w:t>
            </w:r>
          </w:p>
        </w:tc>
        <w:tc>
          <w:tcPr>
            <w:tcW w:w="1140" w:type="dxa"/>
            <w:tcBorders>
              <w:top w:val="single" w:sz="8" w:space="0" w:color="auto"/>
              <w:left w:val="nil"/>
              <w:bottom w:val="single" w:sz="8" w:space="0" w:color="auto"/>
              <w:right w:val="single" w:sz="8" w:space="0" w:color="auto"/>
            </w:tcBorders>
            <w:shd w:val="clear" w:color="auto" w:fill="auto"/>
            <w:noWrap/>
            <w:vAlign w:val="center"/>
            <w:hideMark/>
          </w:tcPr>
          <w:p w14:paraId="58B29A51"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UNID.</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6D6E9B8"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QUANT.</w:t>
            </w:r>
          </w:p>
        </w:tc>
      </w:tr>
      <w:tr w:rsidR="00191253" w:rsidRPr="00685CF9" w14:paraId="20DFDB55" w14:textId="77777777" w:rsidTr="00217D03">
        <w:trPr>
          <w:trHeight w:val="82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A9D015B" w14:textId="77777777" w:rsidR="00191253" w:rsidRPr="00685CF9" w:rsidRDefault="00191253" w:rsidP="00217D03">
            <w:pPr>
              <w:jc w:val="center"/>
              <w:rPr>
                <w:rFonts w:eastAsia="Times New Roman"/>
                <w:b/>
                <w:bCs/>
                <w:color w:val="000000"/>
                <w:sz w:val="16"/>
                <w:szCs w:val="16"/>
              </w:rPr>
            </w:pPr>
            <w:bookmarkStart w:id="2" w:name="_Hlk180400312"/>
            <w:r w:rsidRPr="00685CF9">
              <w:rPr>
                <w:rFonts w:eastAsia="Times New Roman"/>
                <w:b/>
                <w:bCs/>
                <w:color w:val="000000"/>
                <w:sz w:val="16"/>
                <w:szCs w:val="16"/>
              </w:rPr>
              <w:t>1</w:t>
            </w:r>
          </w:p>
        </w:tc>
        <w:tc>
          <w:tcPr>
            <w:tcW w:w="3920" w:type="dxa"/>
            <w:tcBorders>
              <w:top w:val="nil"/>
              <w:left w:val="nil"/>
              <w:bottom w:val="single" w:sz="8" w:space="0" w:color="auto"/>
              <w:right w:val="single" w:sz="8" w:space="0" w:color="auto"/>
            </w:tcBorders>
            <w:shd w:val="clear" w:color="auto" w:fill="auto"/>
            <w:vAlign w:val="center"/>
            <w:hideMark/>
          </w:tcPr>
          <w:p w14:paraId="79DF7473" w14:textId="77777777" w:rsidR="0064279F" w:rsidRPr="001B79B0" w:rsidRDefault="0064279F" w:rsidP="0064279F">
            <w:pPr>
              <w:tabs>
                <w:tab w:val="left" w:pos="2640"/>
              </w:tabs>
              <w:jc w:val="both"/>
            </w:pPr>
            <w:r>
              <w:rPr>
                <w:rFonts w:ascii="Calibri" w:eastAsia="Calibri" w:hAnsi="Calibri" w:cs="Calibri"/>
              </w:rPr>
              <w:t>Mesa de reuniões</w:t>
            </w:r>
            <w:r w:rsidRPr="00D022FE">
              <w:rPr>
                <w:rFonts w:ascii="Calibri" w:eastAsia="Calibri" w:hAnsi="Calibri" w:cs="Calibri"/>
              </w:rPr>
              <w:t xml:space="preserve"> </w:t>
            </w:r>
            <w:r>
              <w:rPr>
                <w:rFonts w:ascii="Calibri" w:eastAsia="Calibri" w:hAnsi="Calibri" w:cs="Calibri"/>
              </w:rPr>
              <w:t>em MDF com tampo e pernas com engrosso de 30mm de espessura.</w:t>
            </w:r>
          </w:p>
          <w:p w14:paraId="0C835664"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6449D8EC" w14:textId="2596027C" w:rsidR="00191253" w:rsidRPr="00685CF9" w:rsidRDefault="0064279F" w:rsidP="0064279F">
            <w:pPr>
              <w:jc w:val="both"/>
              <w:rPr>
                <w:rFonts w:eastAsia="Times New Roman"/>
                <w:color w:val="000000"/>
                <w:sz w:val="16"/>
                <w:szCs w:val="16"/>
              </w:rPr>
            </w:pPr>
            <w:r>
              <w:rPr>
                <w:rFonts w:ascii="Calibri" w:eastAsia="Calibri" w:hAnsi="Calibri" w:cs="Calibri"/>
              </w:rPr>
              <w:t xml:space="preserve">Mesa em </w:t>
            </w:r>
            <w:r w:rsidRPr="00D022FE">
              <w:rPr>
                <w:rFonts w:ascii="Calibri" w:eastAsia="Calibri" w:hAnsi="Calibri" w:cs="Calibri"/>
              </w:rPr>
              <w:t xml:space="preserve">MDF </w:t>
            </w:r>
            <w:proofErr w:type="spellStart"/>
            <w:r>
              <w:rPr>
                <w:rFonts w:ascii="Calibri" w:eastAsia="Calibri" w:hAnsi="Calibri" w:cs="Calibri"/>
              </w:rPr>
              <w:t>Proá</w:t>
            </w:r>
            <w:proofErr w:type="spellEnd"/>
            <w:r w:rsidRPr="00D022FE">
              <w:rPr>
                <w:rFonts w:ascii="Calibri" w:eastAsia="Calibri" w:hAnsi="Calibri" w:cs="Calibri"/>
              </w:rPr>
              <w:t xml:space="preserve"> (</w:t>
            </w:r>
            <w:proofErr w:type="spellStart"/>
            <w:r>
              <w:rPr>
                <w:rFonts w:ascii="Calibri" w:eastAsia="Calibri" w:hAnsi="Calibri" w:cs="Calibri"/>
              </w:rPr>
              <w:t>floraplac</w:t>
            </w:r>
            <w:proofErr w:type="spellEnd"/>
            <w:r w:rsidRPr="00D022FE">
              <w:rPr>
                <w:rFonts w:ascii="Calibri" w:eastAsia="Calibri" w:hAnsi="Calibri" w:cs="Calibri"/>
              </w:rPr>
              <w:t xml:space="preserve">) </w:t>
            </w:r>
            <w:r>
              <w:rPr>
                <w:rFonts w:ascii="Calibri" w:eastAsia="Calibri" w:hAnsi="Calibri" w:cs="Calibri"/>
              </w:rPr>
              <w:t>15mm. Com pés niveladores.</w:t>
            </w:r>
          </w:p>
        </w:tc>
        <w:tc>
          <w:tcPr>
            <w:tcW w:w="1520" w:type="dxa"/>
            <w:tcBorders>
              <w:top w:val="nil"/>
              <w:left w:val="nil"/>
              <w:bottom w:val="single" w:sz="8" w:space="0" w:color="auto"/>
              <w:right w:val="single" w:sz="8" w:space="0" w:color="auto"/>
            </w:tcBorders>
            <w:shd w:val="clear" w:color="auto" w:fill="auto"/>
            <w:vAlign w:val="center"/>
            <w:hideMark/>
          </w:tcPr>
          <w:p w14:paraId="0013BFE9" w14:textId="3961B60A"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10B60FE2"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338C1A75" w14:textId="0E85BC57" w:rsidR="00716905" w:rsidRPr="00685CF9" w:rsidRDefault="00716905" w:rsidP="00716905">
            <w:pPr>
              <w:jc w:val="center"/>
              <w:rPr>
                <w:rFonts w:eastAsia="Times New Roman"/>
                <w:color w:val="000000"/>
                <w:sz w:val="16"/>
                <w:szCs w:val="16"/>
              </w:rPr>
            </w:pPr>
            <w:r>
              <w:rPr>
                <w:rFonts w:eastAsia="Times New Roman"/>
                <w:color w:val="000000"/>
                <w:sz w:val="16"/>
                <w:szCs w:val="16"/>
              </w:rPr>
              <w:t>1</w:t>
            </w:r>
          </w:p>
        </w:tc>
      </w:tr>
      <w:tr w:rsidR="00191253" w:rsidRPr="00685CF9" w14:paraId="3323B284" w14:textId="77777777" w:rsidTr="00217D03">
        <w:trPr>
          <w:trHeight w:val="82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EE1190"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2</w:t>
            </w:r>
          </w:p>
        </w:tc>
        <w:tc>
          <w:tcPr>
            <w:tcW w:w="3920" w:type="dxa"/>
            <w:tcBorders>
              <w:top w:val="nil"/>
              <w:left w:val="nil"/>
              <w:bottom w:val="single" w:sz="8" w:space="0" w:color="auto"/>
              <w:right w:val="single" w:sz="8" w:space="0" w:color="auto"/>
            </w:tcBorders>
            <w:shd w:val="clear" w:color="auto" w:fill="auto"/>
            <w:vAlign w:val="center"/>
            <w:hideMark/>
          </w:tcPr>
          <w:p w14:paraId="19ECE9DA" w14:textId="77777777" w:rsidR="0064279F" w:rsidRPr="001B79B0" w:rsidRDefault="0064279F" w:rsidP="0064279F">
            <w:pPr>
              <w:tabs>
                <w:tab w:val="left" w:pos="2640"/>
              </w:tabs>
              <w:jc w:val="both"/>
            </w:pPr>
            <w:r>
              <w:rPr>
                <w:rFonts w:ascii="Calibri" w:eastAsia="Calibri" w:hAnsi="Calibri" w:cs="Calibri"/>
              </w:rPr>
              <w:t>Painel de TV para sala de reuniões em MDF com engrosso de 60mm de espessura.</w:t>
            </w:r>
            <w:r w:rsidRPr="00D022FE">
              <w:rPr>
                <w:rFonts w:ascii="Calibri" w:eastAsia="Calibri" w:hAnsi="Calibri" w:cs="Calibri"/>
              </w:rPr>
              <w:t xml:space="preserve"> </w:t>
            </w:r>
          </w:p>
          <w:p w14:paraId="30D41BE0"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543E2562" w14:textId="77777777" w:rsidR="0064279F" w:rsidRPr="00D022FE" w:rsidRDefault="0064279F" w:rsidP="0064279F">
            <w:pPr>
              <w:widowControl w:val="0"/>
              <w:rPr>
                <w:rFonts w:ascii="Calibri" w:eastAsia="Calibri" w:hAnsi="Calibri" w:cs="Calibri"/>
              </w:rPr>
            </w:pPr>
            <w:r>
              <w:rPr>
                <w:rFonts w:ascii="Calibri" w:eastAsia="Calibri" w:hAnsi="Calibri" w:cs="Calibri"/>
              </w:rPr>
              <w:t xml:space="preserve">Painel em </w:t>
            </w:r>
            <w:r w:rsidRPr="00D022FE">
              <w:rPr>
                <w:rFonts w:ascii="Calibri" w:eastAsia="Calibri" w:hAnsi="Calibri" w:cs="Calibri"/>
              </w:rPr>
              <w:t xml:space="preserve">MDF </w:t>
            </w:r>
            <w:proofErr w:type="spellStart"/>
            <w:r>
              <w:rPr>
                <w:rFonts w:ascii="Calibri" w:eastAsia="Calibri" w:hAnsi="Calibri" w:cs="Calibri"/>
              </w:rPr>
              <w:t>Proá</w:t>
            </w:r>
            <w:proofErr w:type="spellEnd"/>
            <w:r w:rsidRPr="00D022FE">
              <w:rPr>
                <w:rFonts w:ascii="Calibri" w:eastAsia="Calibri" w:hAnsi="Calibri" w:cs="Calibri"/>
              </w:rPr>
              <w:t xml:space="preserve"> (</w:t>
            </w:r>
            <w:proofErr w:type="spellStart"/>
            <w:r>
              <w:rPr>
                <w:rFonts w:ascii="Calibri" w:eastAsia="Calibri" w:hAnsi="Calibri" w:cs="Calibri"/>
              </w:rPr>
              <w:t>floraplac</w:t>
            </w:r>
            <w:proofErr w:type="spellEnd"/>
            <w:r w:rsidRPr="00D022FE">
              <w:rPr>
                <w:rFonts w:ascii="Calibri" w:eastAsia="Calibri" w:hAnsi="Calibri" w:cs="Calibri"/>
              </w:rPr>
              <w:t xml:space="preserve">) </w:t>
            </w:r>
            <w:r>
              <w:rPr>
                <w:rFonts w:ascii="Calibri" w:eastAsia="Calibri" w:hAnsi="Calibri" w:cs="Calibri"/>
              </w:rPr>
              <w:t>15mm.</w:t>
            </w:r>
          </w:p>
          <w:p w14:paraId="3624984E" w14:textId="4538AEC6" w:rsidR="00191253" w:rsidRPr="00685CF9" w:rsidRDefault="00191253" w:rsidP="00217D03">
            <w:pPr>
              <w:jc w:val="both"/>
              <w:rPr>
                <w:rFonts w:eastAsia="Times New Roman"/>
                <w:color w:val="000000"/>
                <w:sz w:val="16"/>
                <w:szCs w:val="16"/>
              </w:rPr>
            </w:pPr>
          </w:p>
        </w:tc>
        <w:tc>
          <w:tcPr>
            <w:tcW w:w="1520" w:type="dxa"/>
            <w:tcBorders>
              <w:top w:val="nil"/>
              <w:left w:val="nil"/>
              <w:bottom w:val="single" w:sz="8" w:space="0" w:color="auto"/>
              <w:right w:val="single" w:sz="8" w:space="0" w:color="auto"/>
            </w:tcBorders>
            <w:shd w:val="clear" w:color="auto" w:fill="auto"/>
            <w:vAlign w:val="center"/>
            <w:hideMark/>
          </w:tcPr>
          <w:p w14:paraId="34F3BDC1" w14:textId="74917F7C"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05C371A7"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35EBD3A8" w14:textId="6C2556E5" w:rsidR="00191253" w:rsidRPr="00685CF9" w:rsidRDefault="0064279F" w:rsidP="00217D03">
            <w:pPr>
              <w:jc w:val="center"/>
              <w:rPr>
                <w:rFonts w:eastAsia="Times New Roman"/>
                <w:color w:val="000000"/>
                <w:sz w:val="16"/>
                <w:szCs w:val="16"/>
              </w:rPr>
            </w:pPr>
            <w:r>
              <w:rPr>
                <w:rFonts w:eastAsia="Times New Roman"/>
                <w:color w:val="000000"/>
                <w:sz w:val="16"/>
                <w:szCs w:val="16"/>
              </w:rPr>
              <w:t>1</w:t>
            </w:r>
          </w:p>
        </w:tc>
      </w:tr>
      <w:tr w:rsidR="00191253" w:rsidRPr="00685CF9" w14:paraId="02C20CCE" w14:textId="77777777" w:rsidTr="00217D03">
        <w:trPr>
          <w:trHeight w:val="103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844DA9"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3</w:t>
            </w:r>
          </w:p>
        </w:tc>
        <w:tc>
          <w:tcPr>
            <w:tcW w:w="3920" w:type="dxa"/>
            <w:tcBorders>
              <w:top w:val="nil"/>
              <w:left w:val="nil"/>
              <w:bottom w:val="single" w:sz="8" w:space="0" w:color="auto"/>
              <w:right w:val="single" w:sz="8" w:space="0" w:color="auto"/>
            </w:tcBorders>
            <w:shd w:val="clear" w:color="auto" w:fill="auto"/>
            <w:vAlign w:val="center"/>
            <w:hideMark/>
          </w:tcPr>
          <w:p w14:paraId="45C99933" w14:textId="77777777" w:rsidR="0064279F" w:rsidRPr="001B79B0" w:rsidRDefault="0064279F" w:rsidP="0064279F">
            <w:pPr>
              <w:tabs>
                <w:tab w:val="left" w:pos="2640"/>
              </w:tabs>
              <w:jc w:val="both"/>
            </w:pPr>
            <w:r>
              <w:rPr>
                <w:rFonts w:ascii="Calibri" w:eastAsia="Calibri" w:hAnsi="Calibri" w:cs="Calibri"/>
              </w:rPr>
              <w:t>Fichário com 5 gavetas e duas portas de giro na parte superior.</w:t>
            </w:r>
          </w:p>
          <w:p w14:paraId="62071F0E"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1DA45930" w14:textId="463F3AA5" w:rsidR="00191253" w:rsidRPr="00685CF9" w:rsidRDefault="0064279F" w:rsidP="0064279F">
            <w:pPr>
              <w:jc w:val="both"/>
              <w:rPr>
                <w:rFonts w:eastAsia="Times New Roman"/>
                <w:color w:val="000000"/>
                <w:sz w:val="16"/>
                <w:szCs w:val="16"/>
              </w:rPr>
            </w:pPr>
            <w:r>
              <w:rPr>
                <w:rFonts w:ascii="Calibri" w:eastAsia="Calibri" w:hAnsi="Calibri" w:cs="Calibri"/>
              </w:rPr>
              <w:lastRenderedPageBreak/>
              <w:t xml:space="preserve">Móvel com a parte interna em MDF branco </w:t>
            </w:r>
            <w:proofErr w:type="spellStart"/>
            <w:r>
              <w:rPr>
                <w:rFonts w:ascii="Calibri" w:eastAsia="Calibri" w:hAnsi="Calibri" w:cs="Calibri"/>
              </w:rPr>
              <w:t>tx</w:t>
            </w:r>
            <w:proofErr w:type="spellEnd"/>
            <w:r>
              <w:rPr>
                <w:rFonts w:ascii="Calibri" w:eastAsia="Calibri" w:hAnsi="Calibri" w:cs="Calibri"/>
              </w:rPr>
              <w:t xml:space="preserve"> de 15mm de espessura, portas e tamponamentos em MDF fendi (</w:t>
            </w:r>
            <w:proofErr w:type="spellStart"/>
            <w:r>
              <w:rPr>
                <w:rFonts w:ascii="Calibri" w:eastAsia="Calibri" w:hAnsi="Calibri" w:cs="Calibri"/>
              </w:rPr>
              <w:t>floraplac</w:t>
            </w:r>
            <w:proofErr w:type="spellEnd"/>
            <w:r>
              <w:rPr>
                <w:rFonts w:ascii="Calibri" w:eastAsia="Calibri" w:hAnsi="Calibri" w:cs="Calibri"/>
              </w:rPr>
              <w:t>) de 15mm de espessura. Com pés de inox de 10cm, corrediças telescópicas e dobradiças amortecedoras.</w:t>
            </w:r>
          </w:p>
        </w:tc>
        <w:tc>
          <w:tcPr>
            <w:tcW w:w="1520" w:type="dxa"/>
            <w:tcBorders>
              <w:top w:val="nil"/>
              <w:left w:val="nil"/>
              <w:bottom w:val="single" w:sz="8" w:space="0" w:color="auto"/>
              <w:right w:val="single" w:sz="8" w:space="0" w:color="auto"/>
            </w:tcBorders>
            <w:shd w:val="clear" w:color="auto" w:fill="auto"/>
            <w:vAlign w:val="center"/>
            <w:hideMark/>
          </w:tcPr>
          <w:p w14:paraId="44FE459A" w14:textId="0CD4C0CB"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69C10381"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2CB04E8C" w14:textId="31B05499" w:rsidR="00191253" w:rsidRPr="00685CF9" w:rsidRDefault="0064279F" w:rsidP="00217D03">
            <w:pPr>
              <w:jc w:val="center"/>
              <w:rPr>
                <w:rFonts w:eastAsia="Times New Roman"/>
                <w:color w:val="000000"/>
                <w:sz w:val="16"/>
                <w:szCs w:val="16"/>
              </w:rPr>
            </w:pPr>
            <w:r>
              <w:rPr>
                <w:rFonts w:eastAsia="Times New Roman"/>
                <w:color w:val="000000"/>
                <w:sz w:val="16"/>
                <w:szCs w:val="16"/>
              </w:rPr>
              <w:t>1</w:t>
            </w:r>
          </w:p>
        </w:tc>
      </w:tr>
      <w:tr w:rsidR="00191253" w:rsidRPr="00685CF9" w14:paraId="25A65459" w14:textId="77777777" w:rsidTr="00217D03">
        <w:trPr>
          <w:trHeight w:val="103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971FA4C"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4</w:t>
            </w:r>
          </w:p>
        </w:tc>
        <w:tc>
          <w:tcPr>
            <w:tcW w:w="3920" w:type="dxa"/>
            <w:tcBorders>
              <w:top w:val="nil"/>
              <w:left w:val="nil"/>
              <w:bottom w:val="single" w:sz="8" w:space="0" w:color="auto"/>
              <w:right w:val="single" w:sz="8" w:space="0" w:color="auto"/>
            </w:tcBorders>
            <w:shd w:val="clear" w:color="auto" w:fill="auto"/>
            <w:vAlign w:val="center"/>
            <w:hideMark/>
          </w:tcPr>
          <w:p w14:paraId="32BF6DE2" w14:textId="77777777" w:rsidR="0064279F" w:rsidRPr="001B79B0" w:rsidRDefault="0064279F" w:rsidP="0064279F">
            <w:pPr>
              <w:tabs>
                <w:tab w:val="left" w:pos="2640"/>
              </w:tabs>
              <w:jc w:val="both"/>
            </w:pPr>
            <w:r>
              <w:rPr>
                <w:rFonts w:ascii="Calibri" w:eastAsia="Calibri" w:hAnsi="Calibri" w:cs="Calibri"/>
              </w:rPr>
              <w:t>Móvel tipo arquivo/materiais diversos, de canto (formato em “L”) com duas portas de giro.</w:t>
            </w:r>
            <w:r w:rsidRPr="00D022FE">
              <w:rPr>
                <w:rFonts w:ascii="Calibri" w:eastAsia="Calibri" w:hAnsi="Calibri" w:cs="Calibri"/>
              </w:rPr>
              <w:t xml:space="preserve"> </w:t>
            </w:r>
          </w:p>
          <w:p w14:paraId="74E74DCA"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549C300B" w14:textId="68A044A7" w:rsidR="00191253" w:rsidRPr="00685CF9" w:rsidRDefault="0064279F" w:rsidP="0064279F">
            <w:pPr>
              <w:jc w:val="both"/>
              <w:rPr>
                <w:rFonts w:eastAsia="Times New Roman"/>
                <w:color w:val="000000"/>
                <w:sz w:val="16"/>
                <w:szCs w:val="16"/>
              </w:rPr>
            </w:pPr>
            <w:r>
              <w:rPr>
                <w:rFonts w:ascii="Calibri" w:eastAsia="Calibri" w:hAnsi="Calibri" w:cs="Calibri"/>
              </w:rPr>
              <w:t xml:space="preserve">Móvel com a parte interna em MDF branco </w:t>
            </w:r>
            <w:proofErr w:type="spellStart"/>
            <w:r>
              <w:rPr>
                <w:rFonts w:ascii="Calibri" w:eastAsia="Calibri" w:hAnsi="Calibri" w:cs="Calibri"/>
              </w:rPr>
              <w:t>tx</w:t>
            </w:r>
            <w:proofErr w:type="spellEnd"/>
            <w:r>
              <w:rPr>
                <w:rFonts w:ascii="Calibri" w:eastAsia="Calibri" w:hAnsi="Calibri" w:cs="Calibri"/>
              </w:rPr>
              <w:t xml:space="preserve"> de 15mm de espessura, portas e tamponamentos em MDF fendi (</w:t>
            </w:r>
            <w:proofErr w:type="spellStart"/>
            <w:r>
              <w:rPr>
                <w:rFonts w:ascii="Calibri" w:eastAsia="Calibri" w:hAnsi="Calibri" w:cs="Calibri"/>
              </w:rPr>
              <w:t>floraplac</w:t>
            </w:r>
            <w:proofErr w:type="spellEnd"/>
            <w:r>
              <w:rPr>
                <w:rFonts w:ascii="Calibri" w:eastAsia="Calibri" w:hAnsi="Calibri" w:cs="Calibri"/>
              </w:rPr>
              <w:t>) de 15mm de espessura. Com pés de inox de 10cm e dobradiças amortecedoras.</w:t>
            </w:r>
          </w:p>
        </w:tc>
        <w:tc>
          <w:tcPr>
            <w:tcW w:w="1520" w:type="dxa"/>
            <w:tcBorders>
              <w:top w:val="nil"/>
              <w:left w:val="nil"/>
              <w:bottom w:val="single" w:sz="8" w:space="0" w:color="auto"/>
              <w:right w:val="single" w:sz="8" w:space="0" w:color="auto"/>
            </w:tcBorders>
            <w:shd w:val="clear" w:color="auto" w:fill="auto"/>
            <w:vAlign w:val="center"/>
            <w:hideMark/>
          </w:tcPr>
          <w:p w14:paraId="06EBFF33" w14:textId="58F4F241"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26A9FBE7"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6231A57B" w14:textId="74EA8686" w:rsidR="00191253" w:rsidRPr="00685CF9" w:rsidRDefault="0064279F" w:rsidP="00217D03">
            <w:pPr>
              <w:jc w:val="center"/>
              <w:rPr>
                <w:rFonts w:eastAsia="Times New Roman"/>
                <w:color w:val="000000"/>
                <w:sz w:val="16"/>
                <w:szCs w:val="16"/>
              </w:rPr>
            </w:pPr>
            <w:r>
              <w:rPr>
                <w:rFonts w:eastAsia="Times New Roman"/>
                <w:color w:val="000000"/>
                <w:sz w:val="16"/>
                <w:szCs w:val="16"/>
              </w:rPr>
              <w:t>2</w:t>
            </w:r>
          </w:p>
        </w:tc>
      </w:tr>
      <w:tr w:rsidR="00191253" w:rsidRPr="00685CF9" w14:paraId="34BA8DD5" w14:textId="77777777" w:rsidTr="00217D03">
        <w:trPr>
          <w:trHeight w:val="103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8FEAD0D"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5</w:t>
            </w:r>
          </w:p>
        </w:tc>
        <w:tc>
          <w:tcPr>
            <w:tcW w:w="3920" w:type="dxa"/>
            <w:tcBorders>
              <w:top w:val="nil"/>
              <w:left w:val="nil"/>
              <w:bottom w:val="single" w:sz="8" w:space="0" w:color="auto"/>
              <w:right w:val="single" w:sz="8" w:space="0" w:color="auto"/>
            </w:tcBorders>
            <w:shd w:val="clear" w:color="auto" w:fill="auto"/>
            <w:vAlign w:val="center"/>
            <w:hideMark/>
          </w:tcPr>
          <w:p w14:paraId="2CD9B0B1" w14:textId="77777777" w:rsidR="0064279F" w:rsidRPr="001B79B0" w:rsidRDefault="0064279F" w:rsidP="0064279F">
            <w:pPr>
              <w:tabs>
                <w:tab w:val="left" w:pos="2640"/>
              </w:tabs>
              <w:jc w:val="both"/>
            </w:pPr>
            <w:r>
              <w:rPr>
                <w:rFonts w:ascii="Calibri" w:eastAsia="Calibri" w:hAnsi="Calibri" w:cs="Calibri"/>
              </w:rPr>
              <w:t>Móvel para balcão de cozinha com 2 portas de giro.</w:t>
            </w:r>
          </w:p>
          <w:p w14:paraId="365C48A6"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5D41B9F1" w14:textId="0D5BD3B0" w:rsidR="00191253" w:rsidRPr="00685CF9" w:rsidRDefault="0064279F" w:rsidP="0064279F">
            <w:pPr>
              <w:jc w:val="both"/>
              <w:rPr>
                <w:rFonts w:eastAsia="Times New Roman"/>
                <w:color w:val="000000"/>
                <w:sz w:val="16"/>
                <w:szCs w:val="16"/>
              </w:rPr>
            </w:pPr>
            <w:r>
              <w:rPr>
                <w:rFonts w:ascii="Calibri" w:eastAsia="Calibri" w:hAnsi="Calibri" w:cs="Calibri"/>
              </w:rPr>
              <w:t xml:space="preserve">Móvel com a parte interna em MDF branco </w:t>
            </w:r>
            <w:proofErr w:type="spellStart"/>
            <w:r>
              <w:rPr>
                <w:rFonts w:ascii="Calibri" w:eastAsia="Calibri" w:hAnsi="Calibri" w:cs="Calibri"/>
              </w:rPr>
              <w:t>tx</w:t>
            </w:r>
            <w:proofErr w:type="spellEnd"/>
            <w:r>
              <w:rPr>
                <w:rFonts w:ascii="Calibri" w:eastAsia="Calibri" w:hAnsi="Calibri" w:cs="Calibri"/>
              </w:rPr>
              <w:t xml:space="preserve"> de 15mm de espessura, portas e tamponamentos em MDF fendi (</w:t>
            </w:r>
            <w:proofErr w:type="spellStart"/>
            <w:r>
              <w:rPr>
                <w:rFonts w:ascii="Calibri" w:eastAsia="Calibri" w:hAnsi="Calibri" w:cs="Calibri"/>
              </w:rPr>
              <w:t>floraplac</w:t>
            </w:r>
            <w:proofErr w:type="spellEnd"/>
            <w:r>
              <w:rPr>
                <w:rFonts w:ascii="Calibri" w:eastAsia="Calibri" w:hAnsi="Calibri" w:cs="Calibri"/>
              </w:rPr>
              <w:t>) de 15mm de espessura. Com dobradiças amortecedoras.</w:t>
            </w:r>
          </w:p>
        </w:tc>
        <w:tc>
          <w:tcPr>
            <w:tcW w:w="1520" w:type="dxa"/>
            <w:tcBorders>
              <w:top w:val="nil"/>
              <w:left w:val="nil"/>
              <w:bottom w:val="single" w:sz="8" w:space="0" w:color="auto"/>
              <w:right w:val="single" w:sz="8" w:space="0" w:color="auto"/>
            </w:tcBorders>
            <w:shd w:val="clear" w:color="auto" w:fill="auto"/>
            <w:vAlign w:val="center"/>
            <w:hideMark/>
          </w:tcPr>
          <w:p w14:paraId="3D8733E2" w14:textId="0948F5DC"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06DE3D12"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16D99875" w14:textId="6437A74E" w:rsidR="00191253" w:rsidRPr="00685CF9" w:rsidRDefault="00716905" w:rsidP="00217D03">
            <w:pPr>
              <w:jc w:val="center"/>
              <w:rPr>
                <w:rFonts w:eastAsia="Times New Roman"/>
                <w:color w:val="000000"/>
                <w:sz w:val="16"/>
                <w:szCs w:val="16"/>
              </w:rPr>
            </w:pPr>
            <w:r>
              <w:rPr>
                <w:rFonts w:eastAsia="Times New Roman"/>
                <w:color w:val="000000"/>
                <w:sz w:val="16"/>
                <w:szCs w:val="16"/>
              </w:rPr>
              <w:t>1</w:t>
            </w:r>
          </w:p>
        </w:tc>
      </w:tr>
      <w:tr w:rsidR="00191253" w:rsidRPr="00685CF9" w14:paraId="69814B57" w14:textId="77777777" w:rsidTr="00217D03">
        <w:trPr>
          <w:trHeight w:val="144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3DFE93C"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6</w:t>
            </w:r>
          </w:p>
        </w:tc>
        <w:tc>
          <w:tcPr>
            <w:tcW w:w="3920" w:type="dxa"/>
            <w:tcBorders>
              <w:top w:val="nil"/>
              <w:left w:val="nil"/>
              <w:bottom w:val="single" w:sz="8" w:space="0" w:color="auto"/>
              <w:right w:val="single" w:sz="8" w:space="0" w:color="auto"/>
            </w:tcBorders>
            <w:shd w:val="clear" w:color="auto" w:fill="auto"/>
            <w:vAlign w:val="center"/>
            <w:hideMark/>
          </w:tcPr>
          <w:p w14:paraId="7D4B79DC" w14:textId="77777777" w:rsidR="0064279F" w:rsidRPr="001B79B0" w:rsidRDefault="0064279F" w:rsidP="0064279F">
            <w:pPr>
              <w:tabs>
                <w:tab w:val="left" w:pos="2640"/>
              </w:tabs>
              <w:jc w:val="both"/>
            </w:pPr>
            <w:r>
              <w:rPr>
                <w:rFonts w:ascii="Calibri" w:eastAsia="Calibri" w:hAnsi="Calibri" w:cs="Calibri"/>
              </w:rPr>
              <w:t>Móvel para balcão de cozinha com 1 porta de giro.</w:t>
            </w:r>
          </w:p>
          <w:p w14:paraId="538EF032" w14:textId="77777777" w:rsidR="0064279F"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7003A039" w14:textId="2DA190FF" w:rsidR="00191253" w:rsidRPr="00685CF9" w:rsidRDefault="0064279F" w:rsidP="0064279F">
            <w:pPr>
              <w:jc w:val="both"/>
              <w:rPr>
                <w:rFonts w:eastAsia="Times New Roman"/>
                <w:color w:val="000000"/>
                <w:sz w:val="16"/>
                <w:szCs w:val="16"/>
              </w:rPr>
            </w:pPr>
            <w:r>
              <w:rPr>
                <w:rFonts w:ascii="Calibri" w:eastAsia="Calibri" w:hAnsi="Calibri" w:cs="Calibri"/>
              </w:rPr>
              <w:t xml:space="preserve">Móvel com a parte interna em MDF branco </w:t>
            </w:r>
            <w:proofErr w:type="spellStart"/>
            <w:r>
              <w:rPr>
                <w:rFonts w:ascii="Calibri" w:eastAsia="Calibri" w:hAnsi="Calibri" w:cs="Calibri"/>
              </w:rPr>
              <w:t>tx</w:t>
            </w:r>
            <w:proofErr w:type="spellEnd"/>
            <w:r>
              <w:rPr>
                <w:rFonts w:ascii="Calibri" w:eastAsia="Calibri" w:hAnsi="Calibri" w:cs="Calibri"/>
              </w:rPr>
              <w:t xml:space="preserve"> de 15mm de espessura, portas e tamponamentos em MDF fendi (</w:t>
            </w:r>
            <w:proofErr w:type="spellStart"/>
            <w:r>
              <w:rPr>
                <w:rFonts w:ascii="Calibri" w:eastAsia="Calibri" w:hAnsi="Calibri" w:cs="Calibri"/>
              </w:rPr>
              <w:t>floraplac</w:t>
            </w:r>
            <w:proofErr w:type="spellEnd"/>
            <w:r>
              <w:rPr>
                <w:rFonts w:ascii="Calibri" w:eastAsia="Calibri" w:hAnsi="Calibri" w:cs="Calibri"/>
              </w:rPr>
              <w:t>) de 15mm de espessura. Com dobradiças amortecedoras.</w:t>
            </w:r>
          </w:p>
        </w:tc>
        <w:tc>
          <w:tcPr>
            <w:tcW w:w="1520" w:type="dxa"/>
            <w:tcBorders>
              <w:top w:val="nil"/>
              <w:left w:val="nil"/>
              <w:bottom w:val="single" w:sz="8" w:space="0" w:color="auto"/>
              <w:right w:val="single" w:sz="8" w:space="0" w:color="auto"/>
            </w:tcBorders>
            <w:shd w:val="clear" w:color="auto" w:fill="auto"/>
            <w:vAlign w:val="center"/>
            <w:hideMark/>
          </w:tcPr>
          <w:p w14:paraId="5626AD9B" w14:textId="4F0CB337"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24DEF9BD" w14:textId="352ADC7E"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191F86C1" w14:textId="461A5971" w:rsidR="00191253" w:rsidRPr="00685CF9" w:rsidRDefault="00716905" w:rsidP="00217D03">
            <w:pPr>
              <w:jc w:val="center"/>
              <w:rPr>
                <w:rFonts w:eastAsia="Times New Roman"/>
                <w:color w:val="000000"/>
                <w:sz w:val="16"/>
                <w:szCs w:val="16"/>
              </w:rPr>
            </w:pPr>
            <w:r>
              <w:rPr>
                <w:rFonts w:eastAsia="Times New Roman"/>
                <w:color w:val="000000"/>
                <w:sz w:val="16"/>
                <w:szCs w:val="16"/>
              </w:rPr>
              <w:t>1</w:t>
            </w:r>
          </w:p>
        </w:tc>
      </w:tr>
      <w:tr w:rsidR="00191253" w:rsidRPr="00685CF9" w14:paraId="3F82C75C" w14:textId="77777777" w:rsidTr="00217D03">
        <w:trPr>
          <w:trHeight w:val="82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342F69"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lastRenderedPageBreak/>
              <w:t>7</w:t>
            </w:r>
          </w:p>
        </w:tc>
        <w:tc>
          <w:tcPr>
            <w:tcW w:w="3920" w:type="dxa"/>
            <w:tcBorders>
              <w:top w:val="nil"/>
              <w:left w:val="nil"/>
              <w:bottom w:val="single" w:sz="8" w:space="0" w:color="auto"/>
              <w:right w:val="single" w:sz="8" w:space="0" w:color="auto"/>
            </w:tcBorders>
            <w:shd w:val="clear" w:color="auto" w:fill="auto"/>
            <w:vAlign w:val="center"/>
            <w:hideMark/>
          </w:tcPr>
          <w:p w14:paraId="203A3FAC" w14:textId="77777777" w:rsidR="0064279F" w:rsidRPr="001B79B0" w:rsidRDefault="0064279F" w:rsidP="0064279F">
            <w:pPr>
              <w:tabs>
                <w:tab w:val="left" w:pos="2640"/>
              </w:tabs>
              <w:jc w:val="both"/>
            </w:pPr>
            <w:r>
              <w:rPr>
                <w:rFonts w:ascii="Calibri" w:eastAsia="Calibri" w:hAnsi="Calibri" w:cs="Calibri"/>
              </w:rPr>
              <w:t>Móvel para balcão de cozinha com 2 portas de giro.</w:t>
            </w:r>
          </w:p>
          <w:p w14:paraId="75A97A67"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0D0B8AB7" w14:textId="01C9C838" w:rsidR="00191253" w:rsidRPr="00685CF9" w:rsidRDefault="0064279F" w:rsidP="0064279F">
            <w:pPr>
              <w:jc w:val="both"/>
              <w:rPr>
                <w:rFonts w:eastAsia="Times New Roman"/>
                <w:color w:val="000000"/>
                <w:sz w:val="16"/>
                <w:szCs w:val="16"/>
              </w:rPr>
            </w:pPr>
            <w:r>
              <w:rPr>
                <w:rFonts w:ascii="Calibri" w:eastAsia="Calibri" w:hAnsi="Calibri" w:cs="Calibri"/>
              </w:rPr>
              <w:t xml:space="preserve">Móvel com a parte interna em MDF branco </w:t>
            </w:r>
            <w:proofErr w:type="spellStart"/>
            <w:r>
              <w:rPr>
                <w:rFonts w:ascii="Calibri" w:eastAsia="Calibri" w:hAnsi="Calibri" w:cs="Calibri"/>
              </w:rPr>
              <w:t>tx</w:t>
            </w:r>
            <w:proofErr w:type="spellEnd"/>
            <w:r>
              <w:rPr>
                <w:rFonts w:ascii="Calibri" w:eastAsia="Calibri" w:hAnsi="Calibri" w:cs="Calibri"/>
              </w:rPr>
              <w:t xml:space="preserve"> de 15mm de espessura, portas e tamponamentos em MDF fendi (</w:t>
            </w:r>
            <w:proofErr w:type="spellStart"/>
            <w:r>
              <w:rPr>
                <w:rFonts w:ascii="Calibri" w:eastAsia="Calibri" w:hAnsi="Calibri" w:cs="Calibri"/>
              </w:rPr>
              <w:t>floraplac</w:t>
            </w:r>
            <w:proofErr w:type="spellEnd"/>
            <w:r>
              <w:rPr>
                <w:rFonts w:ascii="Calibri" w:eastAsia="Calibri" w:hAnsi="Calibri" w:cs="Calibri"/>
              </w:rPr>
              <w:t>) de 15mm de espessura. Com dobradiças amortecedoras.</w:t>
            </w:r>
          </w:p>
        </w:tc>
        <w:tc>
          <w:tcPr>
            <w:tcW w:w="1520" w:type="dxa"/>
            <w:tcBorders>
              <w:top w:val="nil"/>
              <w:left w:val="nil"/>
              <w:bottom w:val="single" w:sz="8" w:space="0" w:color="auto"/>
              <w:right w:val="single" w:sz="8" w:space="0" w:color="auto"/>
            </w:tcBorders>
            <w:shd w:val="clear" w:color="auto" w:fill="auto"/>
            <w:vAlign w:val="center"/>
            <w:hideMark/>
          </w:tcPr>
          <w:p w14:paraId="0ED55178" w14:textId="1330DB03"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28A32AE8" w14:textId="77777777" w:rsidR="00191253" w:rsidRPr="00685CF9" w:rsidRDefault="00191253"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16B1D69B" w14:textId="7BE6126C" w:rsidR="00191253" w:rsidRPr="00685CF9" w:rsidRDefault="00716905" w:rsidP="00217D03">
            <w:pPr>
              <w:jc w:val="center"/>
              <w:rPr>
                <w:rFonts w:eastAsia="Times New Roman"/>
                <w:color w:val="000000"/>
                <w:sz w:val="16"/>
                <w:szCs w:val="16"/>
              </w:rPr>
            </w:pPr>
            <w:r>
              <w:rPr>
                <w:rFonts w:eastAsia="Times New Roman"/>
                <w:color w:val="000000"/>
                <w:sz w:val="16"/>
                <w:szCs w:val="16"/>
              </w:rPr>
              <w:t>1</w:t>
            </w:r>
          </w:p>
        </w:tc>
      </w:tr>
      <w:tr w:rsidR="00191253" w:rsidRPr="00685CF9" w14:paraId="646A57B6"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726E01A"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8</w:t>
            </w:r>
          </w:p>
        </w:tc>
        <w:tc>
          <w:tcPr>
            <w:tcW w:w="3920" w:type="dxa"/>
            <w:tcBorders>
              <w:top w:val="nil"/>
              <w:left w:val="nil"/>
              <w:bottom w:val="single" w:sz="8" w:space="0" w:color="auto"/>
              <w:right w:val="single" w:sz="8" w:space="0" w:color="auto"/>
            </w:tcBorders>
            <w:shd w:val="clear" w:color="auto" w:fill="auto"/>
            <w:vAlign w:val="center"/>
            <w:hideMark/>
          </w:tcPr>
          <w:p w14:paraId="207FAAD5" w14:textId="77777777" w:rsidR="0064279F" w:rsidRPr="001B79B0" w:rsidRDefault="0064279F" w:rsidP="0064279F">
            <w:pPr>
              <w:tabs>
                <w:tab w:val="left" w:pos="2640"/>
              </w:tabs>
              <w:jc w:val="both"/>
            </w:pPr>
            <w:r>
              <w:rPr>
                <w:rFonts w:ascii="Calibri" w:eastAsia="Calibri" w:hAnsi="Calibri" w:cs="Calibri"/>
              </w:rPr>
              <w:t>Móvel para balcão de cozinha tipo gaveteiro, com 4 gavetas.</w:t>
            </w:r>
            <w:r w:rsidRPr="00D022FE">
              <w:rPr>
                <w:rFonts w:ascii="Calibri" w:eastAsia="Calibri" w:hAnsi="Calibri" w:cs="Calibri"/>
              </w:rPr>
              <w:t xml:space="preserve"> </w:t>
            </w:r>
          </w:p>
          <w:p w14:paraId="5CC9789B"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49700A74" w14:textId="3824BA3C" w:rsidR="00191253" w:rsidRPr="00685CF9" w:rsidRDefault="0064279F" w:rsidP="0064279F">
            <w:pPr>
              <w:jc w:val="both"/>
              <w:rPr>
                <w:rFonts w:eastAsia="Times New Roman"/>
                <w:color w:val="000000"/>
                <w:sz w:val="16"/>
                <w:szCs w:val="16"/>
              </w:rPr>
            </w:pPr>
            <w:r>
              <w:rPr>
                <w:rFonts w:ascii="Calibri" w:eastAsia="Calibri" w:hAnsi="Calibri" w:cs="Calibri"/>
              </w:rPr>
              <w:t xml:space="preserve">Móvel com a parte interna em MDF branco </w:t>
            </w:r>
            <w:proofErr w:type="spellStart"/>
            <w:r>
              <w:rPr>
                <w:rFonts w:ascii="Calibri" w:eastAsia="Calibri" w:hAnsi="Calibri" w:cs="Calibri"/>
              </w:rPr>
              <w:t>tx</w:t>
            </w:r>
            <w:proofErr w:type="spellEnd"/>
            <w:r>
              <w:rPr>
                <w:rFonts w:ascii="Calibri" w:eastAsia="Calibri" w:hAnsi="Calibri" w:cs="Calibri"/>
              </w:rPr>
              <w:t xml:space="preserve"> de 15mm de espessura, portas e tamponamentos em MDF fendi (</w:t>
            </w:r>
            <w:proofErr w:type="spellStart"/>
            <w:r>
              <w:rPr>
                <w:rFonts w:ascii="Calibri" w:eastAsia="Calibri" w:hAnsi="Calibri" w:cs="Calibri"/>
              </w:rPr>
              <w:t>floraplac</w:t>
            </w:r>
            <w:proofErr w:type="spellEnd"/>
            <w:r>
              <w:rPr>
                <w:rFonts w:ascii="Calibri" w:eastAsia="Calibri" w:hAnsi="Calibri" w:cs="Calibri"/>
              </w:rPr>
              <w:t>) de 15mm de espessura. Com corrediças telescópicas.</w:t>
            </w:r>
          </w:p>
        </w:tc>
        <w:tc>
          <w:tcPr>
            <w:tcW w:w="1520" w:type="dxa"/>
            <w:tcBorders>
              <w:top w:val="nil"/>
              <w:left w:val="nil"/>
              <w:bottom w:val="single" w:sz="8" w:space="0" w:color="auto"/>
              <w:right w:val="single" w:sz="8" w:space="0" w:color="auto"/>
            </w:tcBorders>
            <w:shd w:val="clear" w:color="auto" w:fill="auto"/>
            <w:vAlign w:val="center"/>
            <w:hideMark/>
          </w:tcPr>
          <w:p w14:paraId="6A4DE924" w14:textId="4326B51F"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49F60496" w14:textId="2E2A75A1"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7E1AC7A7" w14:textId="445DB949" w:rsidR="00191253" w:rsidRPr="00685CF9" w:rsidRDefault="00716905" w:rsidP="00716905">
            <w:pPr>
              <w:jc w:val="center"/>
              <w:rPr>
                <w:rFonts w:eastAsia="Times New Roman"/>
                <w:color w:val="000000"/>
                <w:sz w:val="16"/>
                <w:szCs w:val="16"/>
              </w:rPr>
            </w:pPr>
            <w:r>
              <w:rPr>
                <w:rFonts w:eastAsia="Times New Roman"/>
                <w:color w:val="000000"/>
                <w:sz w:val="16"/>
                <w:szCs w:val="16"/>
              </w:rPr>
              <w:t>1</w:t>
            </w:r>
          </w:p>
        </w:tc>
      </w:tr>
      <w:tr w:rsidR="00191253" w:rsidRPr="00685CF9" w14:paraId="624E060D"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EB3DFAB"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9</w:t>
            </w:r>
          </w:p>
        </w:tc>
        <w:tc>
          <w:tcPr>
            <w:tcW w:w="3920" w:type="dxa"/>
            <w:tcBorders>
              <w:top w:val="nil"/>
              <w:left w:val="nil"/>
              <w:bottom w:val="single" w:sz="8" w:space="0" w:color="auto"/>
              <w:right w:val="single" w:sz="8" w:space="0" w:color="auto"/>
            </w:tcBorders>
            <w:shd w:val="clear" w:color="auto" w:fill="auto"/>
            <w:vAlign w:val="center"/>
            <w:hideMark/>
          </w:tcPr>
          <w:p w14:paraId="5AB5B776" w14:textId="77777777" w:rsidR="0064279F" w:rsidRPr="001B79B0" w:rsidRDefault="0064279F" w:rsidP="0064279F">
            <w:pPr>
              <w:tabs>
                <w:tab w:val="left" w:pos="2640"/>
              </w:tabs>
              <w:jc w:val="both"/>
            </w:pPr>
            <w:r>
              <w:rPr>
                <w:rFonts w:ascii="Calibri" w:eastAsia="Calibri" w:hAnsi="Calibri" w:cs="Calibri"/>
              </w:rPr>
              <w:t xml:space="preserve">Móvel para balcão de cozinha com 1 porta de giro. </w:t>
            </w:r>
          </w:p>
          <w:p w14:paraId="084C202F"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35989B4F" w14:textId="6B7B5748" w:rsidR="00191253" w:rsidRPr="00685CF9" w:rsidRDefault="0064279F" w:rsidP="0064279F">
            <w:pPr>
              <w:jc w:val="both"/>
              <w:rPr>
                <w:rFonts w:eastAsia="Times New Roman"/>
                <w:color w:val="000000"/>
                <w:sz w:val="16"/>
                <w:szCs w:val="16"/>
              </w:rPr>
            </w:pPr>
            <w:r>
              <w:rPr>
                <w:rFonts w:ascii="Calibri" w:eastAsia="Calibri" w:hAnsi="Calibri" w:cs="Calibri"/>
              </w:rPr>
              <w:t xml:space="preserve">Móvel com a parte interna em MDF branco </w:t>
            </w:r>
            <w:proofErr w:type="spellStart"/>
            <w:r>
              <w:rPr>
                <w:rFonts w:ascii="Calibri" w:eastAsia="Calibri" w:hAnsi="Calibri" w:cs="Calibri"/>
              </w:rPr>
              <w:t>tx</w:t>
            </w:r>
            <w:proofErr w:type="spellEnd"/>
            <w:r>
              <w:rPr>
                <w:rFonts w:ascii="Calibri" w:eastAsia="Calibri" w:hAnsi="Calibri" w:cs="Calibri"/>
              </w:rPr>
              <w:t xml:space="preserve"> de 15mm de espessura, portas e tamponamentos em MDF fendi (</w:t>
            </w:r>
            <w:proofErr w:type="spellStart"/>
            <w:r>
              <w:rPr>
                <w:rFonts w:ascii="Calibri" w:eastAsia="Calibri" w:hAnsi="Calibri" w:cs="Calibri"/>
              </w:rPr>
              <w:t>floraplac</w:t>
            </w:r>
            <w:proofErr w:type="spellEnd"/>
            <w:r>
              <w:rPr>
                <w:rFonts w:ascii="Calibri" w:eastAsia="Calibri" w:hAnsi="Calibri" w:cs="Calibri"/>
              </w:rPr>
              <w:t>) de 15mm de espessura. Com dobradiças amortecedoras.</w:t>
            </w:r>
          </w:p>
        </w:tc>
        <w:tc>
          <w:tcPr>
            <w:tcW w:w="1520" w:type="dxa"/>
            <w:tcBorders>
              <w:top w:val="nil"/>
              <w:left w:val="nil"/>
              <w:bottom w:val="single" w:sz="8" w:space="0" w:color="auto"/>
              <w:right w:val="single" w:sz="8" w:space="0" w:color="auto"/>
            </w:tcBorders>
            <w:shd w:val="clear" w:color="auto" w:fill="auto"/>
            <w:vAlign w:val="center"/>
            <w:hideMark/>
          </w:tcPr>
          <w:p w14:paraId="3A8AE6AA" w14:textId="3EFF50E3"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7DBFCDBD" w14:textId="54363B66"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4244BE87" w14:textId="6C43333F" w:rsidR="00191253" w:rsidRPr="00685CF9" w:rsidRDefault="0064279F" w:rsidP="00217D03">
            <w:pPr>
              <w:jc w:val="center"/>
              <w:rPr>
                <w:rFonts w:eastAsia="Times New Roman"/>
                <w:color w:val="000000"/>
                <w:sz w:val="16"/>
                <w:szCs w:val="16"/>
              </w:rPr>
            </w:pPr>
            <w:r>
              <w:rPr>
                <w:rFonts w:eastAsia="Times New Roman"/>
                <w:color w:val="000000"/>
                <w:sz w:val="16"/>
                <w:szCs w:val="16"/>
              </w:rPr>
              <w:t>1</w:t>
            </w:r>
          </w:p>
        </w:tc>
      </w:tr>
      <w:tr w:rsidR="00191253" w:rsidRPr="00685CF9" w14:paraId="222F7D40"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64B05B9"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10</w:t>
            </w:r>
          </w:p>
        </w:tc>
        <w:tc>
          <w:tcPr>
            <w:tcW w:w="3920" w:type="dxa"/>
            <w:tcBorders>
              <w:top w:val="nil"/>
              <w:left w:val="nil"/>
              <w:bottom w:val="single" w:sz="8" w:space="0" w:color="auto"/>
              <w:right w:val="single" w:sz="8" w:space="0" w:color="auto"/>
            </w:tcBorders>
            <w:shd w:val="clear" w:color="auto" w:fill="auto"/>
            <w:vAlign w:val="center"/>
            <w:hideMark/>
          </w:tcPr>
          <w:p w14:paraId="67613796" w14:textId="77777777" w:rsidR="0064279F" w:rsidRPr="001B79B0" w:rsidRDefault="0064279F" w:rsidP="0064279F">
            <w:pPr>
              <w:tabs>
                <w:tab w:val="left" w:pos="2640"/>
              </w:tabs>
              <w:jc w:val="both"/>
            </w:pPr>
            <w:r>
              <w:rPr>
                <w:rFonts w:ascii="Calibri" w:eastAsia="Calibri" w:hAnsi="Calibri" w:cs="Calibri"/>
              </w:rPr>
              <w:t>Móvel de cozinha aéreo com 1 porta basculante.</w:t>
            </w:r>
          </w:p>
          <w:p w14:paraId="179E6AE8"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672784B6" w14:textId="337811F6" w:rsidR="00DC7C4B" w:rsidRPr="00685CF9" w:rsidRDefault="0064279F" w:rsidP="0064279F">
            <w:pPr>
              <w:jc w:val="both"/>
              <w:rPr>
                <w:rFonts w:eastAsia="Times New Roman"/>
                <w:color w:val="000000"/>
                <w:sz w:val="16"/>
                <w:szCs w:val="16"/>
              </w:rPr>
            </w:pPr>
            <w:r>
              <w:rPr>
                <w:rFonts w:ascii="Calibri" w:eastAsia="Calibri" w:hAnsi="Calibri" w:cs="Calibri"/>
              </w:rPr>
              <w:t xml:space="preserve">Móvel com a parte interna em MDF branco </w:t>
            </w:r>
            <w:proofErr w:type="spellStart"/>
            <w:r>
              <w:rPr>
                <w:rFonts w:ascii="Calibri" w:eastAsia="Calibri" w:hAnsi="Calibri" w:cs="Calibri"/>
              </w:rPr>
              <w:t>tx</w:t>
            </w:r>
            <w:proofErr w:type="spellEnd"/>
            <w:r>
              <w:rPr>
                <w:rFonts w:ascii="Calibri" w:eastAsia="Calibri" w:hAnsi="Calibri" w:cs="Calibri"/>
              </w:rPr>
              <w:t xml:space="preserve"> de 15mm de espessura, </w:t>
            </w:r>
            <w:r>
              <w:rPr>
                <w:rFonts w:ascii="Calibri" w:eastAsia="Calibri" w:hAnsi="Calibri" w:cs="Calibri"/>
              </w:rPr>
              <w:lastRenderedPageBreak/>
              <w:t>portas e tamponamentos em MDF fendi (</w:t>
            </w:r>
            <w:proofErr w:type="spellStart"/>
            <w:r>
              <w:rPr>
                <w:rFonts w:ascii="Calibri" w:eastAsia="Calibri" w:hAnsi="Calibri" w:cs="Calibri"/>
              </w:rPr>
              <w:t>floraplac</w:t>
            </w:r>
            <w:proofErr w:type="spellEnd"/>
            <w:r>
              <w:rPr>
                <w:rFonts w:ascii="Calibri" w:eastAsia="Calibri" w:hAnsi="Calibri" w:cs="Calibri"/>
              </w:rPr>
              <w:t xml:space="preserve">) de 15mm de espessura. Com dobradiças amortecedoras e pistões </w:t>
            </w:r>
            <w:proofErr w:type="gramStart"/>
            <w:r>
              <w:rPr>
                <w:rFonts w:ascii="Calibri" w:eastAsia="Calibri" w:hAnsi="Calibri" w:cs="Calibri"/>
              </w:rPr>
              <w:t>à</w:t>
            </w:r>
            <w:proofErr w:type="gramEnd"/>
            <w:r>
              <w:rPr>
                <w:rFonts w:ascii="Calibri" w:eastAsia="Calibri" w:hAnsi="Calibri" w:cs="Calibri"/>
              </w:rPr>
              <w:t xml:space="preserve"> gás.</w:t>
            </w:r>
          </w:p>
        </w:tc>
        <w:tc>
          <w:tcPr>
            <w:tcW w:w="1520" w:type="dxa"/>
            <w:tcBorders>
              <w:top w:val="nil"/>
              <w:left w:val="nil"/>
              <w:bottom w:val="single" w:sz="8" w:space="0" w:color="auto"/>
              <w:right w:val="single" w:sz="8" w:space="0" w:color="auto"/>
            </w:tcBorders>
            <w:shd w:val="clear" w:color="auto" w:fill="auto"/>
            <w:vAlign w:val="center"/>
            <w:hideMark/>
          </w:tcPr>
          <w:p w14:paraId="721B39A4" w14:textId="63CEF126"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197F4EA1" w14:textId="4EF88B77"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43F82851" w14:textId="272E1D5C" w:rsidR="00191253" w:rsidRPr="00685CF9" w:rsidRDefault="0064279F" w:rsidP="00217D03">
            <w:pPr>
              <w:jc w:val="center"/>
              <w:rPr>
                <w:rFonts w:eastAsia="Times New Roman"/>
                <w:color w:val="000000"/>
                <w:sz w:val="16"/>
                <w:szCs w:val="16"/>
              </w:rPr>
            </w:pPr>
            <w:r>
              <w:rPr>
                <w:rFonts w:eastAsia="Times New Roman"/>
                <w:color w:val="000000"/>
                <w:sz w:val="16"/>
                <w:szCs w:val="16"/>
              </w:rPr>
              <w:t>5</w:t>
            </w:r>
          </w:p>
        </w:tc>
      </w:tr>
      <w:tr w:rsidR="00191253" w:rsidRPr="00685CF9" w14:paraId="07AC6541"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2E4C137"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11</w:t>
            </w:r>
          </w:p>
        </w:tc>
        <w:tc>
          <w:tcPr>
            <w:tcW w:w="3920" w:type="dxa"/>
            <w:tcBorders>
              <w:top w:val="nil"/>
              <w:left w:val="nil"/>
              <w:bottom w:val="single" w:sz="8" w:space="0" w:color="auto"/>
              <w:right w:val="single" w:sz="8" w:space="0" w:color="auto"/>
            </w:tcBorders>
            <w:shd w:val="clear" w:color="auto" w:fill="auto"/>
            <w:vAlign w:val="center"/>
            <w:hideMark/>
          </w:tcPr>
          <w:p w14:paraId="143423DD" w14:textId="77777777" w:rsidR="0064279F" w:rsidRPr="001B79B0" w:rsidRDefault="0064279F" w:rsidP="0064279F">
            <w:pPr>
              <w:tabs>
                <w:tab w:val="left" w:pos="2640"/>
              </w:tabs>
              <w:jc w:val="both"/>
            </w:pPr>
            <w:r>
              <w:rPr>
                <w:rFonts w:ascii="Calibri" w:eastAsia="Calibri" w:hAnsi="Calibri" w:cs="Calibri"/>
              </w:rPr>
              <w:t>Móvel de cozinha para micro-ondas, tipo nicho. Com base engrossada com 30mm.</w:t>
            </w:r>
          </w:p>
          <w:p w14:paraId="2F50925A"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6CD520F6" w14:textId="410B61F5" w:rsidR="00191253" w:rsidRPr="00685CF9" w:rsidRDefault="0064279F" w:rsidP="0064279F">
            <w:pPr>
              <w:jc w:val="both"/>
              <w:rPr>
                <w:rFonts w:eastAsia="Times New Roman"/>
                <w:color w:val="000000"/>
                <w:sz w:val="16"/>
                <w:szCs w:val="16"/>
              </w:rPr>
            </w:pPr>
            <w:r>
              <w:rPr>
                <w:rFonts w:ascii="Calibri" w:eastAsia="Calibri" w:hAnsi="Calibri" w:cs="Calibri"/>
              </w:rPr>
              <w:t>Móvel em MDF fendi (</w:t>
            </w:r>
            <w:proofErr w:type="spellStart"/>
            <w:r>
              <w:rPr>
                <w:rFonts w:ascii="Calibri" w:eastAsia="Calibri" w:hAnsi="Calibri" w:cs="Calibri"/>
              </w:rPr>
              <w:t>floraplac</w:t>
            </w:r>
            <w:proofErr w:type="spellEnd"/>
            <w:r>
              <w:rPr>
                <w:rFonts w:ascii="Calibri" w:eastAsia="Calibri" w:hAnsi="Calibri" w:cs="Calibri"/>
              </w:rPr>
              <w:t>) de 15mm de espessura.</w:t>
            </w:r>
          </w:p>
        </w:tc>
        <w:tc>
          <w:tcPr>
            <w:tcW w:w="1520" w:type="dxa"/>
            <w:tcBorders>
              <w:top w:val="nil"/>
              <w:left w:val="nil"/>
              <w:bottom w:val="single" w:sz="8" w:space="0" w:color="auto"/>
              <w:right w:val="single" w:sz="8" w:space="0" w:color="auto"/>
            </w:tcBorders>
            <w:shd w:val="clear" w:color="auto" w:fill="auto"/>
            <w:vAlign w:val="center"/>
            <w:hideMark/>
          </w:tcPr>
          <w:p w14:paraId="475E703B" w14:textId="15063319"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0D0472CF" w14:textId="39E1A3F8"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7EB52DD6" w14:textId="4D9B1857" w:rsidR="00191253" w:rsidRPr="00685CF9" w:rsidRDefault="0064279F" w:rsidP="00217D03">
            <w:pPr>
              <w:jc w:val="center"/>
              <w:rPr>
                <w:rFonts w:eastAsia="Times New Roman"/>
                <w:color w:val="000000"/>
                <w:sz w:val="16"/>
                <w:szCs w:val="16"/>
              </w:rPr>
            </w:pPr>
            <w:r>
              <w:rPr>
                <w:rFonts w:eastAsia="Times New Roman"/>
                <w:color w:val="000000"/>
                <w:sz w:val="16"/>
                <w:szCs w:val="16"/>
              </w:rPr>
              <w:t>1</w:t>
            </w:r>
          </w:p>
        </w:tc>
      </w:tr>
      <w:tr w:rsidR="00191253" w:rsidRPr="00685CF9" w14:paraId="1D645B58" w14:textId="77777777" w:rsidTr="00217D03">
        <w:trPr>
          <w:trHeight w:val="6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BB5217C"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12</w:t>
            </w:r>
          </w:p>
        </w:tc>
        <w:tc>
          <w:tcPr>
            <w:tcW w:w="3920" w:type="dxa"/>
            <w:tcBorders>
              <w:top w:val="nil"/>
              <w:left w:val="nil"/>
              <w:bottom w:val="single" w:sz="8" w:space="0" w:color="auto"/>
              <w:right w:val="single" w:sz="8" w:space="0" w:color="auto"/>
            </w:tcBorders>
            <w:shd w:val="clear" w:color="auto" w:fill="auto"/>
            <w:vAlign w:val="center"/>
            <w:hideMark/>
          </w:tcPr>
          <w:p w14:paraId="1372DB70" w14:textId="77777777" w:rsidR="0064279F" w:rsidRPr="001B79B0" w:rsidRDefault="0064279F" w:rsidP="0064279F">
            <w:pPr>
              <w:tabs>
                <w:tab w:val="left" w:pos="2640"/>
              </w:tabs>
              <w:jc w:val="both"/>
            </w:pPr>
            <w:r>
              <w:rPr>
                <w:rFonts w:ascii="Calibri" w:eastAsia="Calibri" w:hAnsi="Calibri" w:cs="Calibri"/>
              </w:rPr>
              <w:t xml:space="preserve">Reforma do painel do plenário. </w:t>
            </w:r>
          </w:p>
          <w:p w14:paraId="385923AA" w14:textId="77777777" w:rsidR="0064279F" w:rsidRPr="003056E1"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6ED29F0F" w14:textId="4EBA11A4" w:rsidR="00191253" w:rsidRPr="00685CF9" w:rsidRDefault="0064279F" w:rsidP="0064279F">
            <w:pPr>
              <w:jc w:val="both"/>
              <w:rPr>
                <w:rFonts w:eastAsia="Times New Roman"/>
                <w:color w:val="000000"/>
                <w:sz w:val="16"/>
                <w:szCs w:val="16"/>
              </w:rPr>
            </w:pPr>
            <w:r>
              <w:rPr>
                <w:rFonts w:ascii="Calibri" w:eastAsia="Calibri" w:hAnsi="Calibri" w:cs="Calibri"/>
              </w:rPr>
              <w:t xml:space="preserve">Substituição da estrutura de </w:t>
            </w:r>
            <w:proofErr w:type="spellStart"/>
            <w:r>
              <w:rPr>
                <w:rFonts w:ascii="Calibri" w:eastAsia="Calibri" w:hAnsi="Calibri" w:cs="Calibri"/>
              </w:rPr>
              <w:t>sustenção</w:t>
            </w:r>
            <w:proofErr w:type="spellEnd"/>
            <w:r>
              <w:rPr>
                <w:rFonts w:ascii="Calibri" w:eastAsia="Calibri" w:hAnsi="Calibri" w:cs="Calibri"/>
              </w:rPr>
              <w:t xml:space="preserve"> do painel, por uma estrutura em MDF amadeirado de 15mm. Manutenção do painel na parte externa.</w:t>
            </w:r>
          </w:p>
        </w:tc>
        <w:tc>
          <w:tcPr>
            <w:tcW w:w="1520" w:type="dxa"/>
            <w:tcBorders>
              <w:top w:val="nil"/>
              <w:left w:val="nil"/>
              <w:bottom w:val="single" w:sz="8" w:space="0" w:color="auto"/>
              <w:right w:val="single" w:sz="8" w:space="0" w:color="auto"/>
            </w:tcBorders>
            <w:shd w:val="clear" w:color="auto" w:fill="auto"/>
            <w:vAlign w:val="center"/>
            <w:hideMark/>
          </w:tcPr>
          <w:p w14:paraId="212CFCF6" w14:textId="29E2F5F6"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55F11C3E" w14:textId="0A7F14D5"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1DD55D2D" w14:textId="187F69B9" w:rsidR="00191253" w:rsidRPr="00685CF9" w:rsidRDefault="0064279F" w:rsidP="00217D03">
            <w:pPr>
              <w:jc w:val="center"/>
              <w:rPr>
                <w:rFonts w:eastAsia="Times New Roman"/>
                <w:color w:val="000000"/>
                <w:sz w:val="16"/>
                <w:szCs w:val="16"/>
              </w:rPr>
            </w:pPr>
            <w:r>
              <w:rPr>
                <w:rFonts w:eastAsia="Times New Roman"/>
                <w:color w:val="000000"/>
                <w:sz w:val="16"/>
                <w:szCs w:val="16"/>
              </w:rPr>
              <w:t>1</w:t>
            </w:r>
          </w:p>
        </w:tc>
      </w:tr>
      <w:tr w:rsidR="00191253" w:rsidRPr="00685CF9" w14:paraId="5734F9E2" w14:textId="77777777" w:rsidTr="00217D03">
        <w:trPr>
          <w:trHeight w:val="42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E110A33" w14:textId="77777777" w:rsidR="00191253" w:rsidRPr="00685CF9" w:rsidRDefault="00191253" w:rsidP="00217D03">
            <w:pPr>
              <w:jc w:val="center"/>
              <w:rPr>
                <w:rFonts w:eastAsia="Times New Roman"/>
                <w:b/>
                <w:bCs/>
                <w:color w:val="000000"/>
                <w:sz w:val="16"/>
                <w:szCs w:val="16"/>
              </w:rPr>
            </w:pPr>
            <w:r w:rsidRPr="00685CF9">
              <w:rPr>
                <w:rFonts w:eastAsia="Times New Roman"/>
                <w:b/>
                <w:bCs/>
                <w:color w:val="000000"/>
                <w:sz w:val="16"/>
                <w:szCs w:val="16"/>
              </w:rPr>
              <w:t>13</w:t>
            </w:r>
          </w:p>
        </w:tc>
        <w:tc>
          <w:tcPr>
            <w:tcW w:w="3920" w:type="dxa"/>
            <w:tcBorders>
              <w:top w:val="nil"/>
              <w:left w:val="nil"/>
              <w:bottom w:val="single" w:sz="8" w:space="0" w:color="auto"/>
              <w:right w:val="single" w:sz="8" w:space="0" w:color="auto"/>
            </w:tcBorders>
            <w:shd w:val="clear" w:color="auto" w:fill="auto"/>
            <w:vAlign w:val="center"/>
            <w:hideMark/>
          </w:tcPr>
          <w:p w14:paraId="599A1A91" w14:textId="77777777" w:rsidR="0064279F" w:rsidRPr="001B79B0" w:rsidRDefault="0064279F" w:rsidP="0064279F">
            <w:pPr>
              <w:tabs>
                <w:tab w:val="left" w:pos="2640"/>
              </w:tabs>
              <w:jc w:val="both"/>
            </w:pPr>
            <w:r>
              <w:rPr>
                <w:rFonts w:ascii="Calibri" w:eastAsia="Calibri" w:hAnsi="Calibri" w:cs="Calibri"/>
              </w:rPr>
              <w:t>Manutenção e reforma dos balcões do plenário.</w:t>
            </w:r>
          </w:p>
          <w:p w14:paraId="07FA1820" w14:textId="77777777" w:rsidR="0064279F" w:rsidRDefault="0064279F" w:rsidP="0064279F">
            <w:pPr>
              <w:tabs>
                <w:tab w:val="left" w:pos="2640"/>
              </w:tabs>
              <w:jc w:val="both"/>
            </w:pPr>
            <w:r w:rsidRPr="003056E1">
              <w:t xml:space="preserve">Serviço realizado </w:t>
            </w:r>
            <w:proofErr w:type="spellStart"/>
            <w:r w:rsidRPr="003056E1">
              <w:t>inloco</w:t>
            </w:r>
            <w:proofErr w:type="spellEnd"/>
            <w:r>
              <w:t xml:space="preserve">, </w:t>
            </w:r>
            <w:r w:rsidRPr="003056E1">
              <w:t xml:space="preserve">incluso mão de obra de montagem </w:t>
            </w:r>
            <w:r>
              <w:t xml:space="preserve">e </w:t>
            </w:r>
            <w:r w:rsidRPr="003056E1">
              <w:t>desmontagem, fixação</w:t>
            </w:r>
            <w:r>
              <w:t>,</w:t>
            </w:r>
            <w:r w:rsidRPr="003056E1">
              <w:t xml:space="preserve"> deslocamento</w:t>
            </w:r>
            <w:r>
              <w:t xml:space="preserve">, </w:t>
            </w:r>
            <w:r w:rsidRPr="003056E1">
              <w:t>frete, toda e qualquer despesa direta e indireta na execução do serviço com fornecimento</w:t>
            </w:r>
            <w:r>
              <w:t>.</w:t>
            </w:r>
          </w:p>
          <w:p w14:paraId="207C493C" w14:textId="77777777" w:rsidR="0064279F" w:rsidRPr="003056E1" w:rsidRDefault="0064279F" w:rsidP="0064279F">
            <w:pPr>
              <w:tabs>
                <w:tab w:val="left" w:pos="2640"/>
              </w:tabs>
              <w:jc w:val="both"/>
            </w:pPr>
            <w:r>
              <w:rPr>
                <w:rFonts w:ascii="Calibri" w:eastAsia="Calibri" w:hAnsi="Calibri" w:cs="Calibri"/>
              </w:rPr>
              <w:t>Troca de corrediças, puxadores, manutenção em geral.</w:t>
            </w:r>
          </w:p>
          <w:p w14:paraId="5EC10817" w14:textId="1C8AE6BA" w:rsidR="00191253" w:rsidRPr="00685CF9" w:rsidRDefault="00191253" w:rsidP="00217D03">
            <w:pPr>
              <w:jc w:val="both"/>
              <w:rPr>
                <w:rFonts w:eastAsia="Times New Roman"/>
                <w:color w:val="000000"/>
                <w:sz w:val="16"/>
                <w:szCs w:val="16"/>
              </w:rPr>
            </w:pPr>
          </w:p>
        </w:tc>
        <w:tc>
          <w:tcPr>
            <w:tcW w:w="1520" w:type="dxa"/>
            <w:tcBorders>
              <w:top w:val="nil"/>
              <w:left w:val="nil"/>
              <w:bottom w:val="single" w:sz="8" w:space="0" w:color="auto"/>
              <w:right w:val="single" w:sz="8" w:space="0" w:color="auto"/>
            </w:tcBorders>
            <w:shd w:val="clear" w:color="auto" w:fill="auto"/>
            <w:vAlign w:val="center"/>
            <w:hideMark/>
          </w:tcPr>
          <w:p w14:paraId="2E6031B9" w14:textId="0302BAD5" w:rsidR="00191253" w:rsidRPr="00685CF9" w:rsidRDefault="00191253" w:rsidP="00217D03">
            <w:pPr>
              <w:jc w:val="center"/>
              <w:rPr>
                <w:rFonts w:eastAsia="Times New Roman"/>
                <w:color w:val="000000"/>
                <w:sz w:val="16"/>
                <w:szCs w:val="16"/>
              </w:rPr>
            </w:pPr>
          </w:p>
        </w:tc>
        <w:tc>
          <w:tcPr>
            <w:tcW w:w="1140" w:type="dxa"/>
            <w:tcBorders>
              <w:top w:val="nil"/>
              <w:left w:val="nil"/>
              <w:bottom w:val="single" w:sz="8" w:space="0" w:color="auto"/>
              <w:right w:val="single" w:sz="8" w:space="0" w:color="auto"/>
            </w:tcBorders>
            <w:shd w:val="clear" w:color="auto" w:fill="auto"/>
            <w:vAlign w:val="center"/>
            <w:hideMark/>
          </w:tcPr>
          <w:p w14:paraId="3B60581B" w14:textId="147BC794" w:rsidR="00191253" w:rsidRPr="00685CF9" w:rsidRDefault="00BC3201" w:rsidP="00217D03">
            <w:pPr>
              <w:jc w:val="center"/>
              <w:rPr>
                <w:rFonts w:eastAsia="Times New Roman"/>
                <w:color w:val="000000"/>
                <w:sz w:val="16"/>
                <w:szCs w:val="16"/>
              </w:rPr>
            </w:pPr>
            <w:proofErr w:type="spellStart"/>
            <w:r w:rsidRPr="00685CF9">
              <w:rPr>
                <w:rFonts w:eastAsia="Times New Roman"/>
                <w:color w:val="000000"/>
                <w:sz w:val="16"/>
                <w:szCs w:val="16"/>
              </w:rPr>
              <w:t>Und</w:t>
            </w:r>
            <w:proofErr w:type="spellEnd"/>
          </w:p>
        </w:tc>
        <w:tc>
          <w:tcPr>
            <w:tcW w:w="1200" w:type="dxa"/>
            <w:tcBorders>
              <w:top w:val="nil"/>
              <w:left w:val="nil"/>
              <w:bottom w:val="single" w:sz="8" w:space="0" w:color="auto"/>
              <w:right w:val="single" w:sz="8" w:space="0" w:color="auto"/>
            </w:tcBorders>
            <w:shd w:val="clear" w:color="auto" w:fill="auto"/>
            <w:vAlign w:val="center"/>
            <w:hideMark/>
          </w:tcPr>
          <w:p w14:paraId="7A20CBBD" w14:textId="1D8CB4E0" w:rsidR="00191253" w:rsidRPr="00685CF9" w:rsidRDefault="0064279F" w:rsidP="00217D03">
            <w:pPr>
              <w:jc w:val="center"/>
              <w:rPr>
                <w:rFonts w:eastAsia="Times New Roman"/>
                <w:color w:val="000000"/>
                <w:sz w:val="16"/>
                <w:szCs w:val="16"/>
              </w:rPr>
            </w:pPr>
            <w:r>
              <w:rPr>
                <w:rFonts w:eastAsia="Times New Roman"/>
                <w:color w:val="000000"/>
                <w:sz w:val="16"/>
                <w:szCs w:val="16"/>
              </w:rPr>
              <w:t>1</w:t>
            </w:r>
          </w:p>
        </w:tc>
      </w:tr>
      <w:bookmarkEnd w:id="2"/>
    </w:tbl>
    <w:p w14:paraId="5EC4488A" w14:textId="77777777" w:rsidR="004C5987" w:rsidRPr="005A5439" w:rsidRDefault="004C5987" w:rsidP="004C5987">
      <w:pPr>
        <w:jc w:val="both"/>
        <w:rPr>
          <w:rFonts w:ascii="Arial" w:hAnsi="Arial" w:cs="Arial"/>
        </w:rPr>
      </w:pPr>
    </w:p>
    <w:p w14:paraId="2B1FCA80" w14:textId="50FA052E" w:rsidR="004C5987" w:rsidRPr="005A5439" w:rsidRDefault="004C5987" w:rsidP="004C5987">
      <w:pPr>
        <w:pStyle w:val="PargrafodaLista"/>
        <w:numPr>
          <w:ilvl w:val="2"/>
          <w:numId w:val="2"/>
        </w:numPr>
        <w:jc w:val="both"/>
        <w:rPr>
          <w:rFonts w:ascii="Arial" w:hAnsi="Arial" w:cs="Arial"/>
          <w:sz w:val="24"/>
          <w:szCs w:val="24"/>
        </w:rPr>
      </w:pPr>
      <w:r w:rsidRPr="005A5439">
        <w:rPr>
          <w:rFonts w:ascii="Arial" w:hAnsi="Arial" w:cs="Arial"/>
          <w:sz w:val="24"/>
          <w:szCs w:val="24"/>
        </w:rPr>
        <w:t xml:space="preserve">PERÍODO PARA ENVIO DA DOCUMENTAÇÃO DE HABILITAÇÃO E PROPOSTA DE PREÇO/COTAÇÃO. A presente DISPENSA DE LICITAÇÃO ficará ABERTA POR UM PERÍODO DE 3 (TRÊS) DIAS ÚTEIS, a partir da data da divulgação no site, e os respectivos documentos deverão ser encaminhados ao seguinte endereço institucional: Rua Severino Jerônimo de Carvalho, 34 – Bairro Edilson Alves - MARIZÓPOLIS - PB, CNPJ nº 01.618.605.0001/03. E-MAIL: ATENDIMENTO@MARIZOPOLIS.LEG.BR, preferencialmente fazendo referência a DISPENSA Nº </w:t>
      </w:r>
      <w:r w:rsidR="00BB629B">
        <w:rPr>
          <w:rFonts w:ascii="Arial" w:hAnsi="Arial" w:cs="Arial"/>
          <w:sz w:val="24"/>
          <w:szCs w:val="24"/>
        </w:rPr>
        <w:t>0008/2024</w:t>
      </w:r>
      <w:r w:rsidRPr="005A5439">
        <w:rPr>
          <w:rFonts w:ascii="Arial" w:hAnsi="Arial" w:cs="Arial"/>
          <w:sz w:val="24"/>
          <w:szCs w:val="24"/>
        </w:rPr>
        <w:t>. O PREÇO BASE APLICAVEL NOS TERMOS ART. 23, § 2º, DA LEI 14.133/2021</w:t>
      </w:r>
    </w:p>
    <w:p w14:paraId="7DA84758" w14:textId="77777777" w:rsidR="004C5987" w:rsidRPr="005A5439" w:rsidRDefault="004C5987" w:rsidP="004C5987">
      <w:pPr>
        <w:jc w:val="both"/>
        <w:rPr>
          <w:rFonts w:ascii="Arial" w:hAnsi="Arial" w:cs="Arial"/>
        </w:rPr>
      </w:pPr>
    </w:p>
    <w:p w14:paraId="3BC5F9AC" w14:textId="77777777" w:rsidR="004C5987" w:rsidRPr="005A5439" w:rsidRDefault="004C5987" w:rsidP="004C5987">
      <w:pPr>
        <w:pStyle w:val="PargrafodaLista"/>
        <w:numPr>
          <w:ilvl w:val="1"/>
          <w:numId w:val="2"/>
        </w:numPr>
        <w:jc w:val="both"/>
        <w:rPr>
          <w:rFonts w:ascii="Arial" w:hAnsi="Arial" w:cs="Arial"/>
          <w:b/>
          <w:bCs/>
          <w:sz w:val="24"/>
          <w:szCs w:val="24"/>
        </w:rPr>
      </w:pPr>
      <w:r w:rsidRPr="005A5439">
        <w:rPr>
          <w:rFonts w:ascii="Arial" w:hAnsi="Arial" w:cs="Arial"/>
          <w:b/>
          <w:bCs/>
          <w:sz w:val="24"/>
          <w:szCs w:val="24"/>
        </w:rPr>
        <w:t>PREVISÃO ORÇAMENTÁRIA</w:t>
      </w:r>
    </w:p>
    <w:p w14:paraId="35081B52" w14:textId="1624AA80" w:rsidR="004C5987" w:rsidRPr="005A5439" w:rsidRDefault="004C5987" w:rsidP="004C5987">
      <w:pPr>
        <w:pStyle w:val="NormalWeb"/>
        <w:rPr>
          <w:rFonts w:ascii="Arial" w:hAnsi="Arial" w:cs="Arial"/>
          <w:sz w:val="24"/>
          <w:szCs w:val="24"/>
        </w:rPr>
      </w:pPr>
      <w:r w:rsidRPr="005A5439">
        <w:rPr>
          <w:rFonts w:ascii="Arial" w:hAnsi="Arial" w:cs="Arial"/>
          <w:sz w:val="24"/>
          <w:szCs w:val="24"/>
        </w:rPr>
        <w:t xml:space="preserve"> 1.2.1. Para o fim do disposto no art. 16, II, da Lei Complementar nº. 101, de 04 de maio de 2000 e para efeito da realização da aquisição, a despesa decorrente do processo tem adequação </w:t>
      </w:r>
      <w:r w:rsidRPr="005A5439">
        <w:rPr>
          <w:rFonts w:ascii="Arial" w:hAnsi="Arial" w:cs="Arial"/>
          <w:sz w:val="24"/>
          <w:szCs w:val="24"/>
        </w:rPr>
        <w:lastRenderedPageBreak/>
        <w:t>orçamentária e financeira anual e compatibilidade com o Plano Plurianual – PPA, com a Lei de Diretrizes Orçamentária – LDO e Lei Orçamentária Anual - LOA, sendo constatada a existência de dotação orçamentária para o exercício de 2024, conforme abaixo discriminado: 10.10 CÂMARA MUNICIPAL; 01.031.2001.2001 MANUTENÇÃO DA CÂMARA MUNICIPAL.</w:t>
      </w:r>
    </w:p>
    <w:p w14:paraId="130CD87B" w14:textId="77777777" w:rsidR="004C5987" w:rsidRPr="005A5439" w:rsidRDefault="004C5987" w:rsidP="004C5987">
      <w:pPr>
        <w:rPr>
          <w:rFonts w:ascii="Arial" w:hAnsi="Arial" w:cs="Arial"/>
        </w:rPr>
      </w:pPr>
    </w:p>
    <w:p w14:paraId="6ED9A94B" w14:textId="77777777" w:rsidR="004C5987" w:rsidRPr="005A5439" w:rsidRDefault="004C5987" w:rsidP="004C5987">
      <w:pPr>
        <w:rPr>
          <w:rFonts w:ascii="Arial" w:hAnsi="Arial" w:cs="Arial"/>
          <w:b/>
          <w:bCs/>
        </w:rPr>
      </w:pPr>
      <w:r w:rsidRPr="005A5439">
        <w:rPr>
          <w:rFonts w:ascii="Arial" w:hAnsi="Arial" w:cs="Arial"/>
          <w:b/>
          <w:bCs/>
        </w:rPr>
        <w:t>2. DA CONTRATAÇÃO</w:t>
      </w:r>
    </w:p>
    <w:p w14:paraId="2F408E72" w14:textId="77777777" w:rsidR="004C5987" w:rsidRPr="005A5439" w:rsidRDefault="004C5987" w:rsidP="004C5987">
      <w:pPr>
        <w:rPr>
          <w:rFonts w:ascii="Arial" w:hAnsi="Arial" w:cs="Arial"/>
        </w:rPr>
      </w:pPr>
      <w:r w:rsidRPr="005A5439">
        <w:rPr>
          <w:rFonts w:ascii="Arial" w:hAnsi="Arial" w:cs="Arial"/>
        </w:rPr>
        <w:t>De acordo com a Lei Nº 14.133, de 1º de abril de 2021;</w:t>
      </w:r>
    </w:p>
    <w:p w14:paraId="5AA569FA" w14:textId="77777777" w:rsidR="004C5987" w:rsidRPr="005A5439" w:rsidRDefault="004C5987" w:rsidP="004C5987">
      <w:pPr>
        <w:ind w:left="1418"/>
        <w:rPr>
          <w:rFonts w:ascii="Arial" w:hAnsi="Arial" w:cs="Arial"/>
        </w:rPr>
      </w:pPr>
    </w:p>
    <w:p w14:paraId="16DF8F5D" w14:textId="77777777" w:rsidR="004C5987" w:rsidRPr="005A5439" w:rsidRDefault="004C5987" w:rsidP="004C5987">
      <w:pPr>
        <w:ind w:left="1418"/>
        <w:rPr>
          <w:rFonts w:ascii="Arial" w:hAnsi="Arial" w:cs="Arial"/>
        </w:rPr>
      </w:pPr>
      <w:r w:rsidRPr="005A5439">
        <w:rPr>
          <w:rFonts w:ascii="Arial" w:hAnsi="Arial" w:cs="Arial"/>
        </w:rPr>
        <w:t>Art. 75. É dispensável a licitação:</w:t>
      </w:r>
    </w:p>
    <w:p w14:paraId="198B99B6" w14:textId="77777777" w:rsidR="004C5987" w:rsidRPr="005A5439" w:rsidRDefault="004C5987" w:rsidP="004C5987">
      <w:pPr>
        <w:ind w:left="1418"/>
        <w:rPr>
          <w:rFonts w:ascii="Arial" w:hAnsi="Arial" w:cs="Arial"/>
        </w:rPr>
      </w:pPr>
      <w:r w:rsidRPr="005A5439">
        <w:rPr>
          <w:rFonts w:ascii="Arial" w:hAnsi="Arial" w:cs="Arial"/>
        </w:rPr>
        <w:t xml:space="preserve"> II - Para contratação que envolva valores inferiores a R$ 50.000,00 (cinquenta mil reais), no caso de outros serviços e compras;</w:t>
      </w:r>
    </w:p>
    <w:p w14:paraId="1B949411" w14:textId="77777777" w:rsidR="004C5987" w:rsidRPr="005A5439" w:rsidRDefault="004C5987" w:rsidP="004C5987">
      <w:pPr>
        <w:ind w:left="1418"/>
        <w:jc w:val="both"/>
        <w:rPr>
          <w:rFonts w:ascii="Arial" w:hAnsi="Arial" w:cs="Arial"/>
        </w:rPr>
      </w:pPr>
      <w:r w:rsidRPr="005A5439">
        <w:rPr>
          <w:rFonts w:ascii="Arial" w:hAnsi="Arial" w:cs="Arial"/>
        </w:rPr>
        <w:t xml:space="preserve"> Art. 95. O instrumento de contrato é obrigatório, salvo nas seguintes hipóteses, em que a Administração poderá substituí-lo por outro instrumento hábil, como carta-contrato, nota de empenho de despesa, autorização de compra ou ordem de execução de serviço: </w:t>
      </w:r>
    </w:p>
    <w:p w14:paraId="2E010574" w14:textId="77777777" w:rsidR="004C5987" w:rsidRPr="005A5439" w:rsidRDefault="004C5987" w:rsidP="004C5987">
      <w:pPr>
        <w:ind w:left="1418"/>
        <w:jc w:val="both"/>
        <w:rPr>
          <w:rFonts w:ascii="Arial" w:hAnsi="Arial" w:cs="Arial"/>
        </w:rPr>
      </w:pPr>
      <w:r w:rsidRPr="005A5439">
        <w:rPr>
          <w:rFonts w:ascii="Arial" w:hAnsi="Arial" w:cs="Arial"/>
        </w:rPr>
        <w:t>II - Compras com entrega imediata e integral dos bens adquiridos e dos quais não resultem obrigações futuras, inclusive quanto à assistência técnica, independentemente de seu valor.</w:t>
      </w:r>
    </w:p>
    <w:p w14:paraId="783AEC3C" w14:textId="77777777" w:rsidR="004C5987" w:rsidRPr="005A5439" w:rsidRDefault="004C5987" w:rsidP="004C5987">
      <w:pPr>
        <w:jc w:val="both"/>
        <w:rPr>
          <w:rFonts w:ascii="Arial" w:hAnsi="Arial" w:cs="Arial"/>
        </w:rPr>
      </w:pPr>
    </w:p>
    <w:p w14:paraId="0785A360" w14:textId="77777777" w:rsidR="004C5987" w:rsidRPr="005A5439" w:rsidRDefault="004C5987" w:rsidP="004C5987">
      <w:pPr>
        <w:jc w:val="both"/>
        <w:rPr>
          <w:rFonts w:ascii="Arial" w:hAnsi="Arial" w:cs="Arial"/>
        </w:rPr>
      </w:pPr>
      <w:r w:rsidRPr="005A5439">
        <w:rPr>
          <w:rFonts w:ascii="Arial" w:hAnsi="Arial" w:cs="Arial"/>
        </w:rPr>
        <w:t>Sendo assim, a aquisição será formalizada através da ordem de empenho, pois a entrega será imediata e não haverá parcelamento de entrega e nem obrigações futuras.</w:t>
      </w:r>
    </w:p>
    <w:p w14:paraId="2CD94ACE" w14:textId="77777777" w:rsidR="004C5987" w:rsidRPr="005A5439" w:rsidRDefault="004C5987" w:rsidP="004C5987">
      <w:pPr>
        <w:jc w:val="both"/>
        <w:rPr>
          <w:rFonts w:ascii="Arial" w:hAnsi="Arial" w:cs="Arial"/>
        </w:rPr>
      </w:pPr>
    </w:p>
    <w:p w14:paraId="27178BC4" w14:textId="77777777" w:rsidR="004C5987" w:rsidRPr="005A5439" w:rsidRDefault="004C5987" w:rsidP="004C5987">
      <w:pPr>
        <w:jc w:val="both"/>
        <w:rPr>
          <w:rFonts w:ascii="Arial" w:hAnsi="Arial" w:cs="Arial"/>
          <w:b/>
          <w:bCs/>
        </w:rPr>
      </w:pPr>
      <w:r w:rsidRPr="005A5439">
        <w:rPr>
          <w:rFonts w:ascii="Arial" w:hAnsi="Arial" w:cs="Arial"/>
          <w:b/>
          <w:bCs/>
        </w:rPr>
        <w:t xml:space="preserve">3. JUSTIFICATIVA </w:t>
      </w:r>
    </w:p>
    <w:p w14:paraId="4D59AA41" w14:textId="77777777" w:rsidR="004C5987" w:rsidRPr="005A5439" w:rsidRDefault="004C5987" w:rsidP="004C5987">
      <w:pPr>
        <w:autoSpaceDE w:val="0"/>
        <w:autoSpaceDN w:val="0"/>
        <w:adjustRightInd w:val="0"/>
        <w:jc w:val="both"/>
        <w:rPr>
          <w:rFonts w:ascii="Arial" w:hAnsi="Arial" w:cs="Arial"/>
        </w:rPr>
      </w:pPr>
    </w:p>
    <w:p w14:paraId="01D9D1C3" w14:textId="18A03A57" w:rsidR="00754059" w:rsidRPr="005A5439" w:rsidRDefault="00754059" w:rsidP="00754059">
      <w:pPr>
        <w:autoSpaceDE w:val="0"/>
        <w:autoSpaceDN w:val="0"/>
        <w:adjustRightInd w:val="0"/>
        <w:jc w:val="both"/>
        <w:rPr>
          <w:rFonts w:ascii="Arial" w:hAnsi="Arial" w:cs="Arial"/>
          <w:b/>
          <w:bCs/>
        </w:rPr>
      </w:pPr>
      <w:r w:rsidRPr="005A5439">
        <w:rPr>
          <w:rFonts w:ascii="Arial" w:hAnsi="Arial" w:cs="Arial"/>
        </w:rPr>
        <w:t xml:space="preserve">A CÂMARA MUNICIPAL DE MARIZÓPOLIS - PB, pretendem contratar nos termos das especificações técnicas e informações complementares, motivada pela necessidade demandada da devida efetivação de fornecimento para suprir demanda específica, qual seja, </w:t>
      </w:r>
      <w:r w:rsidR="0064279F">
        <w:rPr>
          <w:rFonts w:ascii="Arial" w:hAnsi="Arial" w:cs="Arial"/>
        </w:rPr>
        <w:t>AQUISIÇÃO DE MOVEIS E MATERIAIS ESCRITORIO DA CÂMARA MUNICIPAL DE MARIZÓPOLIS - PB.</w:t>
      </w:r>
    </w:p>
    <w:p w14:paraId="2F7C1A50" w14:textId="77777777" w:rsidR="004C5987" w:rsidRPr="005A5439" w:rsidRDefault="004C5987" w:rsidP="004C5987">
      <w:pPr>
        <w:jc w:val="both"/>
        <w:rPr>
          <w:rFonts w:ascii="Arial" w:hAnsi="Arial" w:cs="Arial"/>
        </w:rPr>
      </w:pPr>
    </w:p>
    <w:p w14:paraId="470A44C5" w14:textId="77777777" w:rsidR="004C5987" w:rsidRPr="005A5439" w:rsidRDefault="004C5987" w:rsidP="004C5987">
      <w:pPr>
        <w:jc w:val="both"/>
        <w:rPr>
          <w:rFonts w:ascii="Arial" w:hAnsi="Arial" w:cs="Arial"/>
          <w:b/>
          <w:bCs/>
        </w:rPr>
      </w:pPr>
      <w:bookmarkStart w:id="3" w:name="_Hlk143180410"/>
      <w:r w:rsidRPr="005A5439">
        <w:rPr>
          <w:rFonts w:ascii="Arial" w:hAnsi="Arial" w:cs="Arial"/>
          <w:b/>
          <w:bCs/>
        </w:rPr>
        <w:t>4. DA PROPOSTA</w:t>
      </w:r>
    </w:p>
    <w:p w14:paraId="6FFD22BA" w14:textId="77777777" w:rsidR="004C5987" w:rsidRPr="005A5439" w:rsidRDefault="004C5987" w:rsidP="004C5987">
      <w:pPr>
        <w:jc w:val="both"/>
        <w:rPr>
          <w:rFonts w:ascii="Arial" w:hAnsi="Arial" w:cs="Arial"/>
          <w:b/>
          <w:bCs/>
        </w:rPr>
      </w:pPr>
    </w:p>
    <w:p w14:paraId="5D2A23F8" w14:textId="77777777" w:rsidR="004C5987" w:rsidRPr="005A5439" w:rsidRDefault="004C5987" w:rsidP="004C5987">
      <w:pPr>
        <w:jc w:val="both"/>
        <w:rPr>
          <w:rFonts w:ascii="Arial" w:hAnsi="Arial" w:cs="Arial"/>
        </w:rPr>
      </w:pPr>
      <w:r w:rsidRPr="005A5439">
        <w:rPr>
          <w:rFonts w:ascii="Arial" w:hAnsi="Arial" w:cs="Arial"/>
        </w:rPr>
        <w:t>4.1. Na apresentação da proposta comercial deverão estar incluídas todas e quaisquer despesas necessárias para a perfeita execução do objeto, tais como, transporte, tributos, fretes, encargos sociais, seguros e demais despesas inerentes à execução do objeto.</w:t>
      </w:r>
    </w:p>
    <w:p w14:paraId="34B2B83D" w14:textId="77777777" w:rsidR="004C5987" w:rsidRPr="005A5439" w:rsidRDefault="004C5987" w:rsidP="004C5987">
      <w:pPr>
        <w:jc w:val="both"/>
        <w:rPr>
          <w:rFonts w:ascii="Arial" w:hAnsi="Arial" w:cs="Arial"/>
        </w:rPr>
      </w:pPr>
    </w:p>
    <w:p w14:paraId="4752B927" w14:textId="77777777" w:rsidR="004C5987" w:rsidRPr="005A5439" w:rsidRDefault="004C5987" w:rsidP="004C5987">
      <w:pPr>
        <w:jc w:val="both"/>
        <w:rPr>
          <w:rFonts w:ascii="Arial" w:hAnsi="Arial" w:cs="Arial"/>
        </w:rPr>
      </w:pPr>
      <w:r w:rsidRPr="005A5439">
        <w:rPr>
          <w:rFonts w:ascii="Arial" w:hAnsi="Arial" w:cs="Arial"/>
        </w:rPr>
        <w:t>5. Serão acolhidas propostas apresentadas até a data de julgamento realizado pela Comissão Permanente de Licitação – CPL, sendo que os julgamentos das propostas pela CPL ocorrerão a até 72 (Setenta e duas) horas após recebimento das propostas.</w:t>
      </w:r>
    </w:p>
    <w:p w14:paraId="4B95E176" w14:textId="77777777" w:rsidR="004C5987" w:rsidRPr="005A5439" w:rsidRDefault="004C5987" w:rsidP="004C5987">
      <w:pPr>
        <w:jc w:val="both"/>
        <w:rPr>
          <w:rFonts w:ascii="Arial" w:hAnsi="Arial" w:cs="Arial"/>
        </w:rPr>
      </w:pPr>
    </w:p>
    <w:p w14:paraId="4FF752F8" w14:textId="60E885A7" w:rsidR="004C5987" w:rsidRPr="005A5439" w:rsidRDefault="004C5987" w:rsidP="004C5987">
      <w:pPr>
        <w:jc w:val="both"/>
        <w:rPr>
          <w:rFonts w:ascii="Arial" w:hAnsi="Arial" w:cs="Arial"/>
          <w:b/>
          <w:bCs/>
        </w:rPr>
      </w:pPr>
      <w:r w:rsidRPr="005A5439">
        <w:rPr>
          <w:rFonts w:ascii="Arial" w:hAnsi="Arial" w:cs="Arial"/>
        </w:rPr>
        <w:t xml:space="preserve">5.1.3. INFORMAÇÕES: Podem ser obtidas através do E-mail: </w:t>
      </w:r>
      <w:r w:rsidRPr="005A5439">
        <w:rPr>
          <w:rFonts w:ascii="Arial" w:hAnsi="Arial" w:cs="Arial"/>
          <w:b/>
          <w:bCs/>
        </w:rPr>
        <w:t>ATENDIMENTO@MARIZOPOLIS.LEG.BR.</w:t>
      </w:r>
    </w:p>
    <w:p w14:paraId="5E36CB89" w14:textId="77777777" w:rsidR="004C5987" w:rsidRPr="005A5439" w:rsidRDefault="004C5987" w:rsidP="004C5987">
      <w:pPr>
        <w:jc w:val="both"/>
        <w:rPr>
          <w:rFonts w:ascii="Arial" w:hAnsi="Arial" w:cs="Arial"/>
        </w:rPr>
      </w:pPr>
    </w:p>
    <w:p w14:paraId="772B1FA2" w14:textId="77777777" w:rsidR="004C5987" w:rsidRPr="005A5439" w:rsidRDefault="004C5987" w:rsidP="004C5987">
      <w:pPr>
        <w:jc w:val="both"/>
        <w:rPr>
          <w:rFonts w:ascii="Arial" w:hAnsi="Arial" w:cs="Arial"/>
        </w:rPr>
      </w:pPr>
      <w:r w:rsidRPr="005A5439">
        <w:rPr>
          <w:rFonts w:ascii="Arial" w:hAnsi="Arial" w:cs="Arial"/>
        </w:rPr>
        <w:t>6. DO PRAZO DE INÍCIO DA PRESTAÇÃO DOS SERVIÇOS</w:t>
      </w:r>
    </w:p>
    <w:p w14:paraId="4C697406" w14:textId="77777777" w:rsidR="004C5987" w:rsidRPr="005A5439" w:rsidRDefault="004C5987" w:rsidP="004C5987">
      <w:pPr>
        <w:jc w:val="both"/>
        <w:rPr>
          <w:rFonts w:ascii="Arial" w:hAnsi="Arial" w:cs="Arial"/>
        </w:rPr>
      </w:pPr>
      <w:r w:rsidRPr="005A5439">
        <w:rPr>
          <w:rFonts w:ascii="Arial" w:hAnsi="Arial" w:cs="Arial"/>
        </w:rPr>
        <w:t>6.1. O PRAZO DE EXECUÇÃO DOS SERVIÇOS SERÁ DE ATÉ: 24 (VINTE QUATRO) HORAS, CONTADOS DA ORDEM DE SERVIÇO.</w:t>
      </w:r>
    </w:p>
    <w:p w14:paraId="0494F2DC" w14:textId="77777777" w:rsidR="004C5987" w:rsidRPr="005A5439" w:rsidRDefault="004C5987" w:rsidP="004C5987">
      <w:pPr>
        <w:jc w:val="both"/>
        <w:rPr>
          <w:rFonts w:ascii="Arial" w:hAnsi="Arial" w:cs="Arial"/>
        </w:rPr>
      </w:pPr>
      <w:r w:rsidRPr="005A5439">
        <w:rPr>
          <w:rFonts w:ascii="Arial" w:hAnsi="Arial" w:cs="Arial"/>
        </w:rPr>
        <w:t>6.2. A EMPRESA DEVERAR SER COMPOSTA POR EQUIPE TREINADA E CAPACITADA, TENDO CERTIFICADO NA ÁREA MENCIONADA NESSE TERMO DE REFÊRENCIA.</w:t>
      </w:r>
    </w:p>
    <w:p w14:paraId="61358BE1" w14:textId="77777777" w:rsidR="004C5987" w:rsidRPr="005A5439" w:rsidRDefault="004C5987" w:rsidP="004C5987">
      <w:pPr>
        <w:jc w:val="both"/>
        <w:rPr>
          <w:rFonts w:ascii="Arial" w:hAnsi="Arial" w:cs="Arial"/>
        </w:rPr>
      </w:pPr>
    </w:p>
    <w:p w14:paraId="5E442C26" w14:textId="77777777" w:rsidR="004C5987" w:rsidRPr="005A5439" w:rsidRDefault="004C5987" w:rsidP="004C5987">
      <w:pPr>
        <w:jc w:val="both"/>
        <w:rPr>
          <w:rFonts w:ascii="Arial" w:hAnsi="Arial" w:cs="Arial"/>
        </w:rPr>
      </w:pPr>
      <w:r w:rsidRPr="005A5439">
        <w:rPr>
          <w:rFonts w:ascii="Arial" w:hAnsi="Arial" w:cs="Arial"/>
        </w:rPr>
        <w:t>7. DA DOCUMENTAÇÃO PARA SER APRESENTADA DA PESSOA JURÍDICA:</w:t>
      </w:r>
    </w:p>
    <w:p w14:paraId="785E9FD8" w14:textId="77777777" w:rsidR="004C5987" w:rsidRPr="005A5439" w:rsidRDefault="004C5987" w:rsidP="004C5987">
      <w:pPr>
        <w:jc w:val="both"/>
        <w:rPr>
          <w:rFonts w:ascii="Arial" w:hAnsi="Arial" w:cs="Arial"/>
        </w:rPr>
      </w:pPr>
    </w:p>
    <w:p w14:paraId="61270CD7" w14:textId="77777777" w:rsidR="004C5987" w:rsidRPr="005A5439" w:rsidRDefault="004C5987" w:rsidP="004C5987">
      <w:pPr>
        <w:jc w:val="both"/>
        <w:rPr>
          <w:rFonts w:ascii="Arial" w:hAnsi="Arial" w:cs="Arial"/>
        </w:rPr>
      </w:pPr>
      <w:r w:rsidRPr="005A5439">
        <w:rPr>
          <w:rFonts w:ascii="Arial" w:hAnsi="Arial" w:cs="Arial"/>
        </w:rPr>
        <w:lastRenderedPageBreak/>
        <w:t>7.1. QUANTO A HABILITAÇÃO JURÍDICA:</w:t>
      </w:r>
    </w:p>
    <w:p w14:paraId="3224792F" w14:textId="77777777" w:rsidR="004C5987" w:rsidRPr="005A5439" w:rsidRDefault="004C5987" w:rsidP="004C5987">
      <w:pPr>
        <w:jc w:val="both"/>
        <w:rPr>
          <w:rFonts w:ascii="Arial" w:hAnsi="Arial" w:cs="Arial"/>
        </w:rPr>
      </w:pPr>
      <w:r w:rsidRPr="005A5439">
        <w:rPr>
          <w:rFonts w:ascii="Arial" w:hAnsi="Arial" w:cs="Arial"/>
        </w:rPr>
        <w:t>a) Registro comercial, no caso de empresa individual, acompanhado da cédula de identidade do titular;</w:t>
      </w:r>
    </w:p>
    <w:p w14:paraId="3C49DB30" w14:textId="77777777" w:rsidR="004C5987" w:rsidRPr="005A5439" w:rsidRDefault="004C5987" w:rsidP="004C5987">
      <w:pPr>
        <w:jc w:val="both"/>
        <w:rPr>
          <w:rFonts w:ascii="Arial" w:hAnsi="Arial" w:cs="Arial"/>
        </w:rPr>
      </w:pPr>
      <w:r w:rsidRPr="005A5439">
        <w:rPr>
          <w:rFonts w:ascii="Arial" w:hAnsi="Arial" w:cs="Arial"/>
        </w:rPr>
        <w:t>b) Ato constitutivo, estatuto ou contrato social em vigor, devidamente registrado, no caso de Sociedade Comercial e, em se tratando de Sociedade por Ações, acompanhado de documentos de eleição dos seus administradores;</w:t>
      </w:r>
    </w:p>
    <w:p w14:paraId="786A957A" w14:textId="77777777" w:rsidR="004C5987" w:rsidRPr="005A5439" w:rsidRDefault="004C5987" w:rsidP="004C5987">
      <w:pPr>
        <w:jc w:val="both"/>
        <w:rPr>
          <w:rFonts w:ascii="Arial" w:hAnsi="Arial" w:cs="Arial"/>
        </w:rPr>
      </w:pPr>
      <w:r w:rsidRPr="005A5439">
        <w:rPr>
          <w:rFonts w:ascii="Arial" w:hAnsi="Arial" w:cs="Arial"/>
        </w:rPr>
        <w:t>c) Ato constitutivo devidamente registrado no Cartório de Registro Civil de Pessoas Jurídicas tratando-se de sociedades civis, acompanhado de prova da diretoria em exercício;</w:t>
      </w:r>
    </w:p>
    <w:p w14:paraId="2BF56FBE" w14:textId="77777777" w:rsidR="004C5987" w:rsidRPr="005A5439" w:rsidRDefault="004C5987" w:rsidP="004C5987">
      <w:pPr>
        <w:jc w:val="both"/>
        <w:rPr>
          <w:rFonts w:ascii="Arial" w:hAnsi="Arial" w:cs="Arial"/>
        </w:rPr>
      </w:pPr>
      <w:r w:rsidRPr="005A5439">
        <w:rPr>
          <w:rFonts w:ascii="Arial" w:hAnsi="Arial" w:cs="Arial"/>
        </w:rPr>
        <w:t>d) Inscrição do Ato Constitutivo no caso de Sociedades Civis, acompanhado de prova de Diretoria em exercício.</w:t>
      </w:r>
    </w:p>
    <w:p w14:paraId="01CCA0C5" w14:textId="77777777" w:rsidR="004C5987" w:rsidRPr="005A5439" w:rsidRDefault="004C5987" w:rsidP="004C5987">
      <w:pPr>
        <w:jc w:val="both"/>
        <w:rPr>
          <w:rFonts w:ascii="Arial" w:hAnsi="Arial" w:cs="Arial"/>
        </w:rPr>
      </w:pPr>
      <w:r w:rsidRPr="005A5439">
        <w:rPr>
          <w:rFonts w:ascii="Arial" w:hAnsi="Arial" w:cs="Arial"/>
        </w:rPr>
        <w:t>e) Certificado da junta contábil, sendo ATIVO e Regular.</w:t>
      </w:r>
    </w:p>
    <w:p w14:paraId="224069C1" w14:textId="77777777" w:rsidR="004C5987" w:rsidRPr="005A5439" w:rsidRDefault="004C5987" w:rsidP="004C5987">
      <w:pPr>
        <w:jc w:val="both"/>
        <w:rPr>
          <w:rFonts w:ascii="Arial" w:hAnsi="Arial" w:cs="Arial"/>
        </w:rPr>
      </w:pPr>
      <w:r w:rsidRPr="005A5439">
        <w:rPr>
          <w:rFonts w:ascii="Arial" w:hAnsi="Arial" w:cs="Arial"/>
        </w:rPr>
        <w:t>f) Atestado de Capacidade técnica registrado.</w:t>
      </w:r>
    </w:p>
    <w:p w14:paraId="1C25CFD5" w14:textId="77777777" w:rsidR="004C5987" w:rsidRPr="005A5439" w:rsidRDefault="004C5987" w:rsidP="004C5987">
      <w:pPr>
        <w:jc w:val="both"/>
        <w:rPr>
          <w:rFonts w:ascii="Arial" w:hAnsi="Arial" w:cs="Arial"/>
        </w:rPr>
      </w:pPr>
    </w:p>
    <w:p w14:paraId="71A2EA21" w14:textId="77777777" w:rsidR="004C5987" w:rsidRPr="005A5439" w:rsidRDefault="004C5987" w:rsidP="004C5987">
      <w:pPr>
        <w:jc w:val="both"/>
        <w:rPr>
          <w:rFonts w:ascii="Arial" w:hAnsi="Arial" w:cs="Arial"/>
        </w:rPr>
      </w:pPr>
      <w:r w:rsidRPr="005A5439">
        <w:rPr>
          <w:rFonts w:ascii="Arial" w:hAnsi="Arial" w:cs="Arial"/>
        </w:rPr>
        <w:t>7.2. QUANTO A REGULARIDADE FISCAL E TRABALHISTA:</w:t>
      </w:r>
    </w:p>
    <w:p w14:paraId="11FCE655" w14:textId="77777777" w:rsidR="004C5987" w:rsidRPr="005A5439" w:rsidRDefault="004C5987" w:rsidP="004C5987">
      <w:pPr>
        <w:jc w:val="both"/>
        <w:rPr>
          <w:rFonts w:ascii="Arial" w:hAnsi="Arial" w:cs="Arial"/>
        </w:rPr>
      </w:pPr>
      <w:r w:rsidRPr="005A5439">
        <w:rPr>
          <w:rFonts w:ascii="Arial" w:hAnsi="Arial" w:cs="Arial"/>
        </w:rPr>
        <w:t>a). Prova de Inscrição no Cadastro Nacional de Pessoa Jurídica (CNPJ) emitido pela Secretaria da Receita Federal;</w:t>
      </w:r>
    </w:p>
    <w:p w14:paraId="2E1D058D" w14:textId="77777777" w:rsidR="004C5987" w:rsidRPr="005A5439" w:rsidRDefault="004C5987" w:rsidP="004C5987">
      <w:pPr>
        <w:jc w:val="both"/>
        <w:rPr>
          <w:rFonts w:ascii="Arial" w:hAnsi="Arial" w:cs="Arial"/>
        </w:rPr>
      </w:pPr>
      <w:r w:rsidRPr="005A5439">
        <w:rPr>
          <w:rFonts w:ascii="Arial" w:hAnsi="Arial" w:cs="Arial"/>
        </w:rPr>
        <w:t xml:space="preserve">b). Prova de regularidade para com a Fazenda Federal (Tributos Federais e Dívida Ativa da União), assegurada a regra para as microempresas e empresas de pequeno porte, nos termos do art. 43 da Lei Complementar Nº 123, de 14 dezembro de 2006; </w:t>
      </w:r>
    </w:p>
    <w:p w14:paraId="2A6AAE51" w14:textId="77777777" w:rsidR="004C5987" w:rsidRPr="005A5439" w:rsidRDefault="004C5987" w:rsidP="004C5987">
      <w:pPr>
        <w:jc w:val="both"/>
        <w:rPr>
          <w:rFonts w:ascii="Arial" w:hAnsi="Arial" w:cs="Arial"/>
        </w:rPr>
      </w:pPr>
      <w:r w:rsidRPr="005A5439">
        <w:rPr>
          <w:rFonts w:ascii="Arial" w:hAnsi="Arial" w:cs="Arial"/>
        </w:rPr>
        <w:t>c). Prova de regularidade para com a Fazenda Estadual (relativa ao ICMS), assegurada a regra para as microempresas e empresas de pequeno porte, nos termos do art. 43 da Lei Complementar Nº 123, de 14 dezembro de 2006;</w:t>
      </w:r>
    </w:p>
    <w:p w14:paraId="59AE26D3" w14:textId="77777777" w:rsidR="004C5987" w:rsidRPr="005A5439" w:rsidRDefault="004C5987" w:rsidP="004C5987">
      <w:pPr>
        <w:jc w:val="both"/>
        <w:rPr>
          <w:rFonts w:ascii="Arial" w:hAnsi="Arial" w:cs="Arial"/>
        </w:rPr>
      </w:pPr>
      <w:r w:rsidRPr="005A5439">
        <w:rPr>
          <w:rFonts w:ascii="Arial" w:hAnsi="Arial" w:cs="Arial"/>
        </w:rPr>
        <w:t>d). Prova de regularidade para com a Fazenda Municipal do domicílio ou sede da interessada, assegurada a regra para as microempresas e empresas de pequeno porte, nos termos do art. 43 da Lei Complementar Nº 123, de 14 dezembro de 2006;</w:t>
      </w:r>
    </w:p>
    <w:p w14:paraId="09145ED9" w14:textId="77777777" w:rsidR="004C5987" w:rsidRPr="005A5439" w:rsidRDefault="004C5987" w:rsidP="004C5987">
      <w:pPr>
        <w:jc w:val="both"/>
        <w:rPr>
          <w:rFonts w:ascii="Arial" w:hAnsi="Arial" w:cs="Arial"/>
        </w:rPr>
      </w:pPr>
      <w:r w:rsidRPr="005A5439">
        <w:rPr>
          <w:rFonts w:ascii="Arial" w:hAnsi="Arial" w:cs="Arial"/>
        </w:rPr>
        <w:t>e). Prova de regularidade relativa à Seguridade Social: Certidão Negativa de Débito – CND, emitida pelo Instituto Nacional do Seguro Social-INSS; assegurada a regra para as microempresas e empresas de pequeno porte, nos termos do art. 43 da Lei Complementar Nº 123, de 14 dezembro de 2006;</w:t>
      </w:r>
    </w:p>
    <w:p w14:paraId="6D875769" w14:textId="77777777" w:rsidR="004C5987" w:rsidRPr="005A5439" w:rsidRDefault="004C5987" w:rsidP="004C5987">
      <w:pPr>
        <w:jc w:val="both"/>
        <w:rPr>
          <w:rFonts w:ascii="Arial" w:hAnsi="Arial" w:cs="Arial"/>
        </w:rPr>
      </w:pPr>
      <w:r w:rsidRPr="005A5439">
        <w:rPr>
          <w:rFonts w:ascii="Arial" w:hAnsi="Arial" w:cs="Arial"/>
        </w:rPr>
        <w:t>f). Prova de regularidade relativa ao Fundo de Garantia do Tempo de Serviço – FGTS: Certidão de Regularidade Situação - CRF, emitida pela Caixa Econômica Federal; assegurada a regra para as microempresas e empresas de pequeno porte, nos termos do art. 43 da Lei Complementar Nº 123, de 14 dezembro de 2006;</w:t>
      </w:r>
    </w:p>
    <w:p w14:paraId="7C315A44" w14:textId="77777777" w:rsidR="004C5987" w:rsidRPr="005A5439" w:rsidRDefault="004C5987" w:rsidP="004C5987">
      <w:pPr>
        <w:jc w:val="both"/>
        <w:rPr>
          <w:rFonts w:ascii="Arial" w:hAnsi="Arial" w:cs="Arial"/>
        </w:rPr>
      </w:pPr>
      <w:r w:rsidRPr="005A5439">
        <w:rPr>
          <w:rFonts w:ascii="Arial" w:hAnsi="Arial" w:cs="Arial"/>
        </w:rPr>
        <w:t>g). Prova de regularidade para com o Ministério do Trabalho: Certidão Negativa de Débitos Trabalhistas – CNDT, em cumprimento à Lei nº 12.440/2011 e à Resolução Administrativa TST nº 1470/2011.</w:t>
      </w:r>
    </w:p>
    <w:p w14:paraId="0C60DE1D" w14:textId="77777777" w:rsidR="004C5987" w:rsidRPr="005A5439" w:rsidRDefault="004C5987" w:rsidP="004C5987">
      <w:pPr>
        <w:jc w:val="both"/>
        <w:rPr>
          <w:rFonts w:ascii="Arial" w:hAnsi="Arial" w:cs="Arial"/>
        </w:rPr>
      </w:pPr>
      <w:r w:rsidRPr="005A5439">
        <w:rPr>
          <w:rFonts w:ascii="Arial" w:hAnsi="Arial" w:cs="Arial"/>
        </w:rPr>
        <w:t xml:space="preserve">H) Documentação dos órgãos competente para a atividade acima descrita. </w:t>
      </w:r>
    </w:p>
    <w:p w14:paraId="7B35B84D" w14:textId="77777777" w:rsidR="004C5987" w:rsidRPr="005A5439" w:rsidRDefault="004C5987" w:rsidP="004C5987">
      <w:pPr>
        <w:jc w:val="both"/>
        <w:rPr>
          <w:rFonts w:ascii="Arial" w:hAnsi="Arial" w:cs="Arial"/>
        </w:rPr>
      </w:pPr>
    </w:p>
    <w:p w14:paraId="56EC63E6" w14:textId="77777777" w:rsidR="004C5987" w:rsidRPr="005A5439" w:rsidRDefault="004C5987" w:rsidP="004C5987">
      <w:pPr>
        <w:jc w:val="both"/>
        <w:rPr>
          <w:rFonts w:ascii="Arial" w:hAnsi="Arial" w:cs="Arial"/>
          <w:b/>
          <w:bCs/>
        </w:rPr>
      </w:pPr>
      <w:r w:rsidRPr="005A5439">
        <w:rPr>
          <w:rFonts w:ascii="Arial" w:hAnsi="Arial" w:cs="Arial"/>
          <w:b/>
          <w:bCs/>
        </w:rPr>
        <w:t>7. DO PAGAMENTO</w:t>
      </w:r>
    </w:p>
    <w:p w14:paraId="45C14732" w14:textId="77777777" w:rsidR="004C5987" w:rsidRPr="005A5439" w:rsidRDefault="004C5987" w:rsidP="004C5987">
      <w:pPr>
        <w:jc w:val="both"/>
        <w:rPr>
          <w:rFonts w:ascii="Arial" w:hAnsi="Arial" w:cs="Arial"/>
        </w:rPr>
      </w:pPr>
      <w:r w:rsidRPr="005A5439">
        <w:rPr>
          <w:rFonts w:ascii="Arial" w:hAnsi="Arial" w:cs="Arial"/>
        </w:rPr>
        <w:t>7.1. O pagamento ocorrerá em até 05 (cinco) dias úteis do mês seguinte, mediante apresentação de nota fiscal e após atesto do setor competente, nos termos da Lei Federal nº 14.133/2021.</w:t>
      </w:r>
    </w:p>
    <w:p w14:paraId="22D51E6F" w14:textId="77777777" w:rsidR="004C5987" w:rsidRPr="005A5439" w:rsidRDefault="004C5987" w:rsidP="004C5987">
      <w:pPr>
        <w:jc w:val="both"/>
        <w:rPr>
          <w:rFonts w:ascii="Arial" w:hAnsi="Arial" w:cs="Arial"/>
        </w:rPr>
      </w:pPr>
      <w:r w:rsidRPr="005A5439">
        <w:rPr>
          <w:rFonts w:ascii="Arial" w:hAnsi="Arial" w:cs="Arial"/>
        </w:rPr>
        <w:t>7.2. A inadimplência da Contratada com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64FD56EC" w14:textId="77777777" w:rsidR="004C5987" w:rsidRPr="005A5439" w:rsidRDefault="004C5987" w:rsidP="004C5987">
      <w:pPr>
        <w:jc w:val="both"/>
        <w:rPr>
          <w:rFonts w:ascii="Arial" w:hAnsi="Arial" w:cs="Arial"/>
        </w:rPr>
      </w:pPr>
    </w:p>
    <w:p w14:paraId="65FC8A54" w14:textId="77777777" w:rsidR="004C5987" w:rsidRPr="005A5439" w:rsidRDefault="004C5987" w:rsidP="004C5987">
      <w:pPr>
        <w:jc w:val="both"/>
        <w:rPr>
          <w:rFonts w:ascii="Arial" w:hAnsi="Arial" w:cs="Arial"/>
          <w:b/>
          <w:bCs/>
        </w:rPr>
      </w:pPr>
      <w:r w:rsidRPr="005A5439">
        <w:rPr>
          <w:rFonts w:ascii="Arial" w:hAnsi="Arial" w:cs="Arial"/>
          <w:b/>
          <w:bCs/>
        </w:rPr>
        <w:t>8. DAS PENALIDADES</w:t>
      </w:r>
    </w:p>
    <w:p w14:paraId="24539641" w14:textId="77777777" w:rsidR="004C5987" w:rsidRPr="005A5439" w:rsidRDefault="004C5987" w:rsidP="004C5987">
      <w:pPr>
        <w:jc w:val="both"/>
        <w:rPr>
          <w:rFonts w:ascii="Arial" w:hAnsi="Arial" w:cs="Arial"/>
        </w:rPr>
      </w:pPr>
      <w:r w:rsidRPr="005A5439">
        <w:rPr>
          <w:rFonts w:ascii="Arial" w:hAnsi="Arial" w:cs="Arial"/>
        </w:rPr>
        <w:t>8.1 - O não cumprimento das condições estipuladas neste Termo de Referência implicará na adoção de medidas e penalidades previstas em lei.;</w:t>
      </w:r>
    </w:p>
    <w:p w14:paraId="35B7F802" w14:textId="77777777" w:rsidR="004C5987" w:rsidRPr="005A5439" w:rsidRDefault="004C5987" w:rsidP="004C5987">
      <w:pPr>
        <w:jc w:val="both"/>
        <w:rPr>
          <w:rFonts w:ascii="Arial" w:hAnsi="Arial" w:cs="Arial"/>
        </w:rPr>
      </w:pPr>
    </w:p>
    <w:p w14:paraId="6DB227A3" w14:textId="77777777" w:rsidR="004C5987" w:rsidRPr="005A5439" w:rsidRDefault="004C5987" w:rsidP="004C5987">
      <w:pPr>
        <w:rPr>
          <w:rFonts w:ascii="Arial" w:hAnsi="Arial" w:cs="Arial"/>
          <w:b/>
          <w:bCs/>
        </w:rPr>
      </w:pPr>
      <w:r w:rsidRPr="005A5439">
        <w:rPr>
          <w:rFonts w:ascii="Arial" w:hAnsi="Arial" w:cs="Arial"/>
          <w:b/>
          <w:bCs/>
        </w:rPr>
        <w:lastRenderedPageBreak/>
        <w:t>7. DAS OBRIGAÇÕES</w:t>
      </w:r>
    </w:p>
    <w:p w14:paraId="66A779EB" w14:textId="77777777" w:rsidR="004C5987" w:rsidRPr="005A5439" w:rsidRDefault="004C5987" w:rsidP="004C5987">
      <w:pPr>
        <w:rPr>
          <w:rFonts w:ascii="Arial" w:hAnsi="Arial" w:cs="Arial"/>
        </w:rPr>
      </w:pPr>
      <w:r w:rsidRPr="005A5439">
        <w:rPr>
          <w:rFonts w:ascii="Arial" w:hAnsi="Arial" w:cs="Arial"/>
        </w:rPr>
        <w:t>7.1. DA CONTRATADA</w:t>
      </w:r>
    </w:p>
    <w:p w14:paraId="41FD272E" w14:textId="77777777" w:rsidR="004C5987" w:rsidRPr="005A5439" w:rsidRDefault="004C5987" w:rsidP="004C5987">
      <w:pPr>
        <w:jc w:val="both"/>
        <w:rPr>
          <w:rFonts w:ascii="Arial" w:hAnsi="Arial" w:cs="Arial"/>
        </w:rPr>
      </w:pPr>
      <w:r w:rsidRPr="005A5439">
        <w:rPr>
          <w:rFonts w:ascii="Arial" w:hAnsi="Arial" w:cs="Arial"/>
        </w:rPr>
        <w:t>1.  Imediatamente após a assinatura do Contrato, disponibilizar o atendimento imediato no prazo máximo de 5 (cinco) horas, dentro dos padrões de qualidade pertinentes e nas quantidades solicitadas, mediante requisição, devidamente assinada pelo Setor competente.</w:t>
      </w:r>
      <w:r w:rsidRPr="005A5439">
        <w:rPr>
          <w:rFonts w:ascii="Arial" w:hAnsi="Arial" w:cs="Arial"/>
        </w:rPr>
        <w:cr/>
      </w:r>
    </w:p>
    <w:p w14:paraId="27D4DE63" w14:textId="77777777" w:rsidR="004C5987" w:rsidRPr="005A5439" w:rsidRDefault="004C5987" w:rsidP="004C5987">
      <w:pPr>
        <w:jc w:val="both"/>
        <w:rPr>
          <w:rFonts w:ascii="Arial" w:hAnsi="Arial" w:cs="Arial"/>
          <w:b/>
          <w:bCs/>
        </w:rPr>
      </w:pPr>
      <w:r w:rsidRPr="005A5439">
        <w:rPr>
          <w:rFonts w:ascii="Arial" w:hAnsi="Arial" w:cs="Arial"/>
          <w:b/>
          <w:bCs/>
        </w:rPr>
        <w:t>7.2 DA CONTRATANTE</w:t>
      </w:r>
    </w:p>
    <w:p w14:paraId="2C644B2A" w14:textId="77777777" w:rsidR="004C5987" w:rsidRPr="005A5439" w:rsidRDefault="004C5987" w:rsidP="004C5987">
      <w:pPr>
        <w:jc w:val="both"/>
        <w:rPr>
          <w:rFonts w:ascii="Arial" w:hAnsi="Arial" w:cs="Arial"/>
        </w:rPr>
      </w:pPr>
      <w:r w:rsidRPr="005A5439">
        <w:rPr>
          <w:rFonts w:ascii="Arial" w:hAnsi="Arial" w:cs="Arial"/>
        </w:rPr>
        <w:t>7.2.1 Receber provisoriamente o objeto contratado, disponibilizando local, data e horário.</w:t>
      </w:r>
    </w:p>
    <w:p w14:paraId="1EA463E0" w14:textId="77777777" w:rsidR="004C5987" w:rsidRPr="005A5439" w:rsidRDefault="004C5987" w:rsidP="004C5987">
      <w:pPr>
        <w:jc w:val="both"/>
        <w:rPr>
          <w:rFonts w:ascii="Arial" w:hAnsi="Arial" w:cs="Arial"/>
        </w:rPr>
      </w:pPr>
      <w:r w:rsidRPr="005A5439">
        <w:rPr>
          <w:rFonts w:ascii="Arial" w:hAnsi="Arial" w:cs="Arial"/>
        </w:rPr>
        <w:t>7.2.2 Verificar minuciosamente, no prazo fixado, a conformidade do objeto contratado com as especificações constantes no Termo de Referência e na proposta, para fins de aceitação e recebimento definitivos;</w:t>
      </w:r>
    </w:p>
    <w:p w14:paraId="23984525" w14:textId="77777777" w:rsidR="004C5987" w:rsidRPr="005A5439" w:rsidRDefault="004C5987" w:rsidP="004C5987">
      <w:pPr>
        <w:jc w:val="both"/>
        <w:rPr>
          <w:rFonts w:ascii="Arial" w:hAnsi="Arial" w:cs="Arial"/>
        </w:rPr>
      </w:pPr>
      <w:r w:rsidRPr="005A5439">
        <w:rPr>
          <w:rFonts w:ascii="Arial" w:hAnsi="Arial" w:cs="Arial"/>
        </w:rPr>
        <w:t>7.2.3 Efetuar o pagamento no prazo previsto.</w:t>
      </w:r>
    </w:p>
    <w:p w14:paraId="23A15BD5" w14:textId="77777777" w:rsidR="004C5987" w:rsidRPr="005A5439" w:rsidRDefault="004C5987" w:rsidP="004C5987">
      <w:pPr>
        <w:jc w:val="both"/>
        <w:rPr>
          <w:rFonts w:ascii="Arial" w:hAnsi="Arial" w:cs="Arial"/>
        </w:rPr>
      </w:pPr>
    </w:p>
    <w:p w14:paraId="004CC77C" w14:textId="77777777" w:rsidR="004C5987" w:rsidRPr="005A5439" w:rsidRDefault="004C5987" w:rsidP="004C5987">
      <w:pPr>
        <w:jc w:val="both"/>
        <w:rPr>
          <w:rFonts w:ascii="Arial" w:hAnsi="Arial" w:cs="Arial"/>
          <w:b/>
          <w:bCs/>
        </w:rPr>
      </w:pPr>
      <w:r w:rsidRPr="005A5439">
        <w:rPr>
          <w:rFonts w:ascii="Arial" w:hAnsi="Arial" w:cs="Arial"/>
          <w:b/>
          <w:bCs/>
        </w:rPr>
        <w:t>8. DAS INFRAÇÕES E SANÇÕES APLICÁVEIS</w:t>
      </w:r>
    </w:p>
    <w:p w14:paraId="1C8D9001" w14:textId="77777777" w:rsidR="004C5987" w:rsidRPr="005A5439" w:rsidRDefault="004C5987" w:rsidP="004C5987">
      <w:pPr>
        <w:jc w:val="both"/>
        <w:rPr>
          <w:rFonts w:ascii="Arial" w:hAnsi="Arial" w:cs="Arial"/>
        </w:rPr>
      </w:pPr>
      <w:r w:rsidRPr="005A5439">
        <w:rPr>
          <w:rFonts w:ascii="Arial" w:hAnsi="Arial" w:cs="Arial"/>
        </w:rPr>
        <w:t xml:space="preserve">8.1 Aplica-se o previsto na Lei 14.133/2021, de 1º de abril de 2021. </w:t>
      </w:r>
    </w:p>
    <w:p w14:paraId="7DDA336E" w14:textId="77777777" w:rsidR="004C5987" w:rsidRPr="005A5439" w:rsidRDefault="004C5987" w:rsidP="004C5987">
      <w:pPr>
        <w:jc w:val="center"/>
        <w:rPr>
          <w:rFonts w:ascii="Arial" w:eastAsia="Calibri" w:hAnsi="Arial" w:cs="Arial"/>
          <w:lang w:eastAsia="en-US"/>
        </w:rPr>
      </w:pPr>
    </w:p>
    <w:p w14:paraId="36F3EC9C" w14:textId="77777777" w:rsidR="004C5987" w:rsidRPr="005A5439" w:rsidRDefault="004C5987" w:rsidP="004C5987">
      <w:pPr>
        <w:jc w:val="both"/>
        <w:rPr>
          <w:rFonts w:ascii="Arial" w:hAnsi="Arial" w:cs="Arial"/>
        </w:rPr>
      </w:pPr>
      <w:r w:rsidRPr="005A5439">
        <w:rPr>
          <w:rFonts w:ascii="Arial" w:hAnsi="Arial" w:cs="Arial"/>
        </w:rPr>
        <w:t>9 – Fiscalização do Contrato –</w:t>
      </w:r>
    </w:p>
    <w:p w14:paraId="46C8FB02" w14:textId="77777777" w:rsidR="004C5987" w:rsidRPr="005A5439" w:rsidRDefault="004C5987" w:rsidP="004C5987">
      <w:pPr>
        <w:jc w:val="both"/>
        <w:rPr>
          <w:rFonts w:ascii="Arial" w:hAnsi="Arial" w:cs="Arial"/>
        </w:rPr>
      </w:pPr>
      <w:r w:rsidRPr="005A5439">
        <w:rPr>
          <w:rFonts w:ascii="Arial" w:hAnsi="Arial" w:cs="Arial"/>
        </w:rPr>
        <w:t>A execução do contrato será objeto de acompanhamento, controle, fiscalização e avaliação por representante da Administração, com atribuições específicas, devidamente designadas pela Contratante e deverá ser exercida conforme Cláusula Sétima, da minuta do contrato em anexo</w:t>
      </w:r>
      <w:bookmarkEnd w:id="3"/>
      <w:r w:rsidRPr="005A5439">
        <w:rPr>
          <w:rFonts w:ascii="Arial" w:hAnsi="Arial" w:cs="Arial"/>
        </w:rPr>
        <w:t>.</w:t>
      </w:r>
    </w:p>
    <w:p w14:paraId="27524981" w14:textId="77777777" w:rsidR="004C5987" w:rsidRPr="005A5439" w:rsidRDefault="004C5987" w:rsidP="004C5987">
      <w:pPr>
        <w:jc w:val="both"/>
        <w:rPr>
          <w:rFonts w:ascii="Arial" w:hAnsi="Arial" w:cs="Arial"/>
        </w:rPr>
      </w:pPr>
    </w:p>
    <w:p w14:paraId="1ADAA22C" w14:textId="4735A6BA" w:rsidR="004C5987" w:rsidRPr="005A5439" w:rsidRDefault="004C5987" w:rsidP="004C5987">
      <w:pPr>
        <w:jc w:val="both"/>
        <w:rPr>
          <w:rFonts w:ascii="Arial" w:hAnsi="Arial" w:cs="Arial"/>
        </w:rPr>
      </w:pPr>
      <w:r w:rsidRPr="005A5439">
        <w:rPr>
          <w:rFonts w:ascii="Arial" w:hAnsi="Arial" w:cs="Arial"/>
        </w:rPr>
        <w:t xml:space="preserve">MARIZÓPOLIS - PB, em </w:t>
      </w:r>
      <w:r w:rsidR="00BC3201">
        <w:rPr>
          <w:rFonts w:ascii="Arial" w:hAnsi="Arial" w:cs="Arial"/>
        </w:rPr>
        <w:t>2</w:t>
      </w:r>
      <w:r w:rsidR="00BB629B">
        <w:rPr>
          <w:rFonts w:ascii="Arial" w:hAnsi="Arial" w:cs="Arial"/>
        </w:rPr>
        <w:t>3</w:t>
      </w:r>
      <w:r w:rsidRPr="005A5439">
        <w:rPr>
          <w:rFonts w:ascii="Arial" w:hAnsi="Arial" w:cs="Arial"/>
        </w:rPr>
        <w:t xml:space="preserve"> de </w:t>
      </w:r>
      <w:r w:rsidR="00BC3201">
        <w:rPr>
          <w:rFonts w:ascii="Arial" w:hAnsi="Arial" w:cs="Arial"/>
        </w:rPr>
        <w:t>Outubro</w:t>
      </w:r>
      <w:r w:rsidRPr="005A5439">
        <w:rPr>
          <w:rFonts w:ascii="Arial" w:hAnsi="Arial" w:cs="Arial"/>
        </w:rPr>
        <w:t xml:space="preserve"> de 2024</w:t>
      </w:r>
    </w:p>
    <w:p w14:paraId="46F2DFFD" w14:textId="77777777" w:rsidR="005A5439" w:rsidRPr="005A5439" w:rsidRDefault="005A5439" w:rsidP="005A5439">
      <w:pPr>
        <w:pStyle w:val="NormalWeb"/>
        <w:jc w:val="left"/>
        <w:rPr>
          <w:rFonts w:ascii="Arial" w:hAnsi="Arial" w:cs="Arial"/>
          <w:sz w:val="24"/>
          <w:szCs w:val="24"/>
        </w:rPr>
      </w:pPr>
    </w:p>
    <w:p w14:paraId="29DC20CE" w14:textId="6E87C805" w:rsidR="005A5439" w:rsidRPr="005A5439" w:rsidRDefault="005A5439" w:rsidP="005A5439">
      <w:pPr>
        <w:pStyle w:val="NormalWeb"/>
        <w:jc w:val="left"/>
        <w:rPr>
          <w:rFonts w:ascii="Arial" w:hAnsi="Arial" w:cs="Arial"/>
          <w:sz w:val="24"/>
          <w:szCs w:val="24"/>
        </w:rPr>
      </w:pPr>
      <w:r w:rsidRPr="005A5439">
        <w:rPr>
          <w:rFonts w:ascii="Arial" w:hAnsi="Arial" w:cs="Arial"/>
          <w:sz w:val="24"/>
          <w:szCs w:val="24"/>
        </w:rPr>
        <w:t>ESTEFANIA REJANE OLIVEIRA DE LIMA</w:t>
      </w:r>
    </w:p>
    <w:p w14:paraId="7CE34BA2" w14:textId="77777777" w:rsidR="005A5439" w:rsidRPr="005A5439" w:rsidRDefault="005A5439" w:rsidP="005A5439">
      <w:pPr>
        <w:pStyle w:val="NormalWeb"/>
        <w:jc w:val="left"/>
        <w:rPr>
          <w:rFonts w:ascii="Arial" w:hAnsi="Arial" w:cs="Arial"/>
          <w:sz w:val="24"/>
          <w:szCs w:val="24"/>
        </w:rPr>
      </w:pPr>
      <w:r w:rsidRPr="005A5439">
        <w:rPr>
          <w:rFonts w:ascii="Arial" w:hAnsi="Arial" w:cs="Arial"/>
          <w:sz w:val="24"/>
          <w:szCs w:val="24"/>
        </w:rPr>
        <w:t>Chefe de Gabinete da Presidência</w:t>
      </w:r>
    </w:p>
    <w:p w14:paraId="36D98D06" w14:textId="77777777" w:rsidR="005A5439" w:rsidRPr="005A5439" w:rsidRDefault="005A5439" w:rsidP="005A5439">
      <w:pPr>
        <w:rPr>
          <w:rFonts w:ascii="Arial" w:hAnsi="Arial" w:cs="Arial"/>
        </w:rPr>
      </w:pPr>
    </w:p>
    <w:p w14:paraId="277EB0C1" w14:textId="77777777" w:rsidR="00D659A4" w:rsidRPr="005A5439" w:rsidRDefault="00D659A4" w:rsidP="00D27AAC">
      <w:pPr>
        <w:rPr>
          <w:rFonts w:ascii="Arial" w:hAnsi="Arial" w:cs="Arial"/>
        </w:rPr>
      </w:pPr>
    </w:p>
    <w:sectPr w:rsidR="00D659A4" w:rsidRPr="005A5439">
      <w:headerReference w:type="default" r:id="rId7"/>
      <w:pgSz w:w="11907" w:h="16840"/>
      <w:pgMar w:top="567" w:right="56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4B7D" w14:textId="77777777" w:rsidR="00D27AAC" w:rsidRDefault="00D27AAC">
      <w:r>
        <w:separator/>
      </w:r>
    </w:p>
  </w:endnote>
  <w:endnote w:type="continuationSeparator" w:id="0">
    <w:p w14:paraId="406CE0F8" w14:textId="77777777" w:rsidR="00D27AAC" w:rsidRDefault="00D2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CD9A2" w14:textId="77777777" w:rsidR="00D27AAC" w:rsidRDefault="00D27AAC">
      <w:r>
        <w:separator/>
      </w:r>
    </w:p>
  </w:footnote>
  <w:footnote w:type="continuationSeparator" w:id="0">
    <w:p w14:paraId="66CAD434" w14:textId="77777777" w:rsidR="00D27AAC" w:rsidRDefault="00D2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5D16B" w14:textId="77777777" w:rsidR="00D659A4" w:rsidRDefault="00D659A4" w:rsidP="00D659A4">
    <w:pPr>
      <w:pStyle w:val="Cabealho"/>
      <w:jc w:val="center"/>
    </w:pPr>
    <w:r>
      <w:rPr>
        <w:noProof/>
      </w:rPr>
      <w:drawing>
        <wp:inline distT="0" distB="0" distL="0" distR="0" wp14:anchorId="49327A84" wp14:editId="3092EC60">
          <wp:extent cx="5067300" cy="464820"/>
          <wp:effectExtent l="0" t="0" r="0" b="0"/>
          <wp:docPr id="22" name="Imagem 22" descr="http://www.marizopolis.pb.gov.br/wp-content/uploads/2015/07/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http://www.marizopolis.pb.gov.br/wp-content/uploads/2015/07/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64820"/>
                  </a:xfrm>
                  <a:prstGeom prst="rect">
                    <a:avLst/>
                  </a:prstGeom>
                  <a:noFill/>
                  <a:ln>
                    <a:noFill/>
                  </a:ln>
                </pic:spPr>
              </pic:pic>
            </a:graphicData>
          </a:graphic>
        </wp:inline>
      </w:drawing>
    </w:r>
  </w:p>
  <w:p w14:paraId="778FF0C0" w14:textId="77777777" w:rsidR="00D659A4" w:rsidRDefault="00D659A4" w:rsidP="00D659A4">
    <w:pPr>
      <w:pStyle w:val="Cabealho"/>
      <w:jc w:val="center"/>
      <w:rPr>
        <w:rFonts w:ascii="Arial Black" w:hAnsi="Arial Black"/>
        <w:sz w:val="20"/>
      </w:rPr>
    </w:pPr>
    <w:r>
      <w:rPr>
        <w:rFonts w:ascii="Arial Black" w:hAnsi="Arial Black"/>
        <w:sz w:val="20"/>
      </w:rPr>
      <w:t>CÂMARA MUNICIPAL DE MARIZÓPOLIS</w:t>
    </w:r>
  </w:p>
  <w:p w14:paraId="6813F1C1" w14:textId="77777777" w:rsidR="00D659A4" w:rsidRDefault="00D659A4" w:rsidP="00D659A4">
    <w:pPr>
      <w:pStyle w:val="Cabealho"/>
      <w:jc w:val="center"/>
      <w:rPr>
        <w:rFonts w:ascii="Arial Black" w:hAnsi="Arial Black"/>
        <w:sz w:val="20"/>
      </w:rPr>
    </w:pPr>
    <w:r>
      <w:rPr>
        <w:rFonts w:ascii="Arial Black" w:hAnsi="Arial Black"/>
        <w:sz w:val="20"/>
      </w:rPr>
      <w:t>ESTADO DA PARAÍBA</w:t>
    </w:r>
  </w:p>
  <w:p w14:paraId="602E6AA1" w14:textId="77777777" w:rsidR="00D659A4" w:rsidRDefault="00D659A4" w:rsidP="00D659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D2E8B"/>
    <w:multiLevelType w:val="multilevel"/>
    <w:tmpl w:val="79B808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35696E"/>
    <w:multiLevelType w:val="multilevel"/>
    <w:tmpl w:val="EA8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954982">
    <w:abstractNumId w:val="1"/>
  </w:num>
  <w:num w:numId="2" w16cid:durableId="135761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4"/>
    <w:rsid w:val="00177AB6"/>
    <w:rsid w:val="00191253"/>
    <w:rsid w:val="0031360C"/>
    <w:rsid w:val="003148F5"/>
    <w:rsid w:val="00321DC3"/>
    <w:rsid w:val="00394231"/>
    <w:rsid w:val="003E0CF2"/>
    <w:rsid w:val="00434D60"/>
    <w:rsid w:val="004412A6"/>
    <w:rsid w:val="004C5987"/>
    <w:rsid w:val="005A5439"/>
    <w:rsid w:val="0064279F"/>
    <w:rsid w:val="006963B4"/>
    <w:rsid w:val="00716905"/>
    <w:rsid w:val="00754059"/>
    <w:rsid w:val="007C333C"/>
    <w:rsid w:val="007F654D"/>
    <w:rsid w:val="008411DD"/>
    <w:rsid w:val="00A73611"/>
    <w:rsid w:val="00A92357"/>
    <w:rsid w:val="00B158DE"/>
    <w:rsid w:val="00B9549B"/>
    <w:rsid w:val="00BB629B"/>
    <w:rsid w:val="00BC3201"/>
    <w:rsid w:val="00D159E4"/>
    <w:rsid w:val="00D27AAC"/>
    <w:rsid w:val="00D659A4"/>
    <w:rsid w:val="00DC7C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E316"/>
  <w15:chartTrackingRefBased/>
  <w15:docId w15:val="{18B93F07-8C06-4FD3-80D5-9B49BBAB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9A4"/>
    <w:pPr>
      <w:spacing w:after="0" w:line="240" w:lineRule="auto"/>
    </w:pPr>
    <w:rPr>
      <w:rFonts w:ascii="Times New Roman" w:eastAsiaTheme="minorEastAsia" w:hAnsi="Times New Roman" w:cs="Times New Roman"/>
      <w:sz w:val="24"/>
      <w:szCs w:val="24"/>
      <w:lang w:eastAsia="pt-BR"/>
    </w:rPr>
  </w:style>
  <w:style w:type="paragraph" w:styleId="Ttulo1">
    <w:name w:val="heading 1"/>
    <w:basedOn w:val="Normal"/>
    <w:link w:val="Ttulo1Char"/>
    <w:uiPriority w:val="9"/>
    <w:qFormat/>
    <w:rsid w:val="00D659A4"/>
    <w:pPr>
      <w:jc w:val="center"/>
      <w:outlineLvl w:val="0"/>
    </w:pPr>
    <w:rPr>
      <w:rFonts w:ascii="Arial" w:hAnsi="Arial" w:cs="Arial"/>
      <w:b/>
      <w:bCs/>
      <w:color w:val="000000"/>
      <w:kern w:val="36"/>
    </w:rPr>
  </w:style>
  <w:style w:type="paragraph" w:styleId="Ttulo2">
    <w:name w:val="heading 2"/>
    <w:basedOn w:val="Normal"/>
    <w:link w:val="Ttulo2Char"/>
    <w:uiPriority w:val="9"/>
    <w:qFormat/>
    <w:rsid w:val="00D659A4"/>
    <w:pPr>
      <w:jc w:val="both"/>
      <w:outlineLvl w:val="1"/>
    </w:pPr>
    <w:rPr>
      <w:rFonts w:ascii="Arial" w:hAnsi="Arial" w:cs="Arial"/>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59A4"/>
    <w:rPr>
      <w:rFonts w:ascii="Arial" w:eastAsiaTheme="minorEastAsia" w:hAnsi="Arial" w:cs="Arial"/>
      <w:b/>
      <w:bCs/>
      <w:color w:val="000000"/>
      <w:kern w:val="36"/>
      <w:sz w:val="24"/>
      <w:szCs w:val="24"/>
      <w:lang w:eastAsia="pt-BR"/>
    </w:rPr>
  </w:style>
  <w:style w:type="character" w:customStyle="1" w:styleId="Ttulo2Char">
    <w:name w:val="Título 2 Char"/>
    <w:basedOn w:val="Fontepargpadro"/>
    <w:link w:val="Ttulo2"/>
    <w:uiPriority w:val="9"/>
    <w:rsid w:val="00D659A4"/>
    <w:rPr>
      <w:rFonts w:ascii="Arial" w:eastAsiaTheme="minorEastAsia" w:hAnsi="Arial" w:cs="Arial"/>
      <w:b/>
      <w:bCs/>
      <w:color w:val="000000"/>
      <w:sz w:val="18"/>
      <w:szCs w:val="18"/>
      <w:lang w:eastAsia="pt-BR"/>
    </w:rPr>
  </w:style>
  <w:style w:type="paragraph" w:customStyle="1" w:styleId="msonormal0">
    <w:name w:val="msonormal"/>
    <w:basedOn w:val="Normal"/>
    <w:rsid w:val="00D659A4"/>
    <w:pPr>
      <w:jc w:val="both"/>
    </w:pPr>
    <w:rPr>
      <w:rFonts w:ascii="Courier New" w:hAnsi="Courier New" w:cs="Courier New"/>
      <w:color w:val="000000"/>
      <w:sz w:val="18"/>
      <w:szCs w:val="18"/>
    </w:rPr>
  </w:style>
  <w:style w:type="paragraph" w:styleId="NormalWeb">
    <w:name w:val="Normal (Web)"/>
    <w:basedOn w:val="Normal"/>
    <w:uiPriority w:val="99"/>
    <w:unhideWhenUsed/>
    <w:rsid w:val="00D659A4"/>
    <w:pPr>
      <w:jc w:val="both"/>
    </w:pPr>
    <w:rPr>
      <w:rFonts w:ascii="Courier New" w:hAnsi="Courier New" w:cs="Courier New"/>
      <w:color w:val="000000"/>
      <w:sz w:val="18"/>
      <w:szCs w:val="18"/>
    </w:rPr>
  </w:style>
  <w:style w:type="paragraph" w:customStyle="1" w:styleId="espaco">
    <w:name w:val="espaco"/>
    <w:basedOn w:val="Normal"/>
    <w:rsid w:val="00D659A4"/>
    <w:pPr>
      <w:ind w:firstLine="300"/>
      <w:jc w:val="both"/>
    </w:pPr>
    <w:rPr>
      <w:rFonts w:ascii="Courier New" w:hAnsi="Courier New" w:cs="Courier New"/>
      <w:color w:val="000000"/>
      <w:sz w:val="18"/>
      <w:szCs w:val="18"/>
    </w:rPr>
  </w:style>
  <w:style w:type="paragraph" w:customStyle="1" w:styleId="introducao">
    <w:name w:val="introducao"/>
    <w:basedOn w:val="Normal"/>
    <w:uiPriority w:val="99"/>
    <w:rsid w:val="00D659A4"/>
    <w:pPr>
      <w:ind w:left="3000"/>
      <w:jc w:val="both"/>
    </w:pPr>
    <w:rPr>
      <w:rFonts w:ascii="Courier New" w:hAnsi="Courier New" w:cs="Courier New"/>
      <w:color w:val="000000"/>
      <w:sz w:val="18"/>
      <w:szCs w:val="18"/>
    </w:rPr>
  </w:style>
  <w:style w:type="paragraph" w:customStyle="1" w:styleId="cabecalho">
    <w:name w:val="cabecalho"/>
    <w:basedOn w:val="Normal"/>
    <w:rsid w:val="00D659A4"/>
    <w:pPr>
      <w:jc w:val="center"/>
    </w:pPr>
    <w:rPr>
      <w:rFonts w:ascii="Courier New" w:hAnsi="Courier New" w:cs="Courier New"/>
      <w:color w:val="000000"/>
      <w:sz w:val="18"/>
      <w:szCs w:val="18"/>
    </w:rPr>
  </w:style>
  <w:style w:type="paragraph" w:customStyle="1" w:styleId="quebra">
    <w:name w:val="quebra"/>
    <w:basedOn w:val="Normal"/>
    <w:rsid w:val="00D659A4"/>
    <w:pPr>
      <w:pageBreakBefore/>
      <w:jc w:val="both"/>
    </w:pPr>
    <w:rPr>
      <w:rFonts w:ascii="Courier New" w:hAnsi="Courier New" w:cs="Courier New"/>
      <w:color w:val="000000"/>
      <w:sz w:val="18"/>
      <w:szCs w:val="18"/>
    </w:rPr>
  </w:style>
  <w:style w:type="paragraph" w:customStyle="1" w:styleId="rodape">
    <w:name w:val="rodape"/>
    <w:basedOn w:val="Normal"/>
    <w:rsid w:val="00D659A4"/>
    <w:pPr>
      <w:pageBreakBefore/>
      <w:jc w:val="both"/>
    </w:pPr>
    <w:rPr>
      <w:rFonts w:ascii="Arial" w:hAnsi="Arial" w:cs="Arial"/>
      <w:color w:val="000000"/>
      <w:sz w:val="16"/>
      <w:szCs w:val="16"/>
    </w:rPr>
  </w:style>
  <w:style w:type="paragraph" w:styleId="Cabealho">
    <w:name w:val="header"/>
    <w:basedOn w:val="Normal"/>
    <w:link w:val="CabealhoChar"/>
    <w:uiPriority w:val="99"/>
    <w:unhideWhenUsed/>
    <w:rsid w:val="00D659A4"/>
    <w:pPr>
      <w:tabs>
        <w:tab w:val="center" w:pos="4252"/>
        <w:tab w:val="right" w:pos="8504"/>
      </w:tabs>
    </w:pPr>
  </w:style>
  <w:style w:type="character" w:customStyle="1" w:styleId="CabealhoChar">
    <w:name w:val="Cabeçalho Char"/>
    <w:basedOn w:val="Fontepargpadro"/>
    <w:link w:val="Cabealho"/>
    <w:uiPriority w:val="99"/>
    <w:rsid w:val="00D659A4"/>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D659A4"/>
    <w:pPr>
      <w:tabs>
        <w:tab w:val="center" w:pos="4252"/>
        <w:tab w:val="right" w:pos="8504"/>
      </w:tabs>
    </w:pPr>
  </w:style>
  <w:style w:type="character" w:customStyle="1" w:styleId="RodapChar">
    <w:name w:val="Rodapé Char"/>
    <w:basedOn w:val="Fontepargpadro"/>
    <w:link w:val="Rodap"/>
    <w:uiPriority w:val="99"/>
    <w:rsid w:val="00D659A4"/>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D659A4"/>
    <w:rPr>
      <w:rFonts w:ascii="Segoe UI" w:hAnsi="Segoe UI" w:cs="Segoe UI"/>
      <w:sz w:val="18"/>
      <w:szCs w:val="18"/>
    </w:rPr>
  </w:style>
  <w:style w:type="character" w:customStyle="1" w:styleId="TextodebaloChar">
    <w:name w:val="Texto de balão Char"/>
    <w:basedOn w:val="Fontepargpadro"/>
    <w:link w:val="Textodebalo"/>
    <w:uiPriority w:val="99"/>
    <w:semiHidden/>
    <w:rsid w:val="00D659A4"/>
    <w:rPr>
      <w:rFonts w:ascii="Segoe UI" w:eastAsiaTheme="minorEastAsia" w:hAnsi="Segoe UI" w:cs="Segoe UI"/>
      <w:sz w:val="18"/>
      <w:szCs w:val="18"/>
      <w:lang w:eastAsia="pt-BR"/>
    </w:rPr>
  </w:style>
  <w:style w:type="table" w:styleId="Tabelacomgrade">
    <w:name w:val="Table Grid"/>
    <w:basedOn w:val="Tabelanormal"/>
    <w:uiPriority w:val="39"/>
    <w:rsid w:val="0031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C598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38188">
      <w:bodyDiv w:val="1"/>
      <w:marLeft w:val="0"/>
      <w:marRight w:val="0"/>
      <w:marTop w:val="0"/>
      <w:marBottom w:val="0"/>
      <w:divBdr>
        <w:top w:val="none" w:sz="0" w:space="0" w:color="auto"/>
        <w:left w:val="none" w:sz="0" w:space="0" w:color="auto"/>
        <w:bottom w:val="none" w:sz="0" w:space="0" w:color="auto"/>
        <w:right w:val="none" w:sz="0" w:space="0" w:color="auto"/>
      </w:divBdr>
    </w:div>
    <w:div w:id="212234089">
      <w:bodyDiv w:val="1"/>
      <w:marLeft w:val="0"/>
      <w:marRight w:val="0"/>
      <w:marTop w:val="0"/>
      <w:marBottom w:val="0"/>
      <w:divBdr>
        <w:top w:val="none" w:sz="0" w:space="0" w:color="auto"/>
        <w:left w:val="none" w:sz="0" w:space="0" w:color="auto"/>
        <w:bottom w:val="none" w:sz="0" w:space="0" w:color="auto"/>
        <w:right w:val="none" w:sz="0" w:space="0" w:color="auto"/>
      </w:divBdr>
    </w:div>
    <w:div w:id="312754636">
      <w:bodyDiv w:val="1"/>
      <w:marLeft w:val="0"/>
      <w:marRight w:val="0"/>
      <w:marTop w:val="0"/>
      <w:marBottom w:val="0"/>
      <w:divBdr>
        <w:top w:val="none" w:sz="0" w:space="0" w:color="auto"/>
        <w:left w:val="none" w:sz="0" w:space="0" w:color="auto"/>
        <w:bottom w:val="none" w:sz="0" w:space="0" w:color="auto"/>
        <w:right w:val="none" w:sz="0" w:space="0" w:color="auto"/>
      </w:divBdr>
    </w:div>
    <w:div w:id="5182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2114</Words>
  <Characters>11416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Everton Daniel Pereira Sarmento</dc:creator>
  <cp:keywords/>
  <dc:description/>
  <cp:lastModifiedBy>rikelmysilva008@gmail.com</cp:lastModifiedBy>
  <cp:revision>2</cp:revision>
  <dcterms:created xsi:type="dcterms:W3CDTF">2024-10-23T14:15:00Z</dcterms:created>
  <dcterms:modified xsi:type="dcterms:W3CDTF">2024-10-23T14:15:00Z</dcterms:modified>
</cp:coreProperties>
</file>